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spacing w:line="576" w:lineRule="exact"/>
        <w:ind w:left="0"/>
        <w:textAlignment w:val="auto"/>
        <w:rPr>
          <w:rFonts w:hint="eastAsia" w:ascii="黑体" w:hAnsi="Times New Roman" w:eastAsia="黑体" w:cs="黑体"/>
          <w:color w:val="auto"/>
          <w:sz w:val="32"/>
          <w:szCs w:val="32"/>
          <w:highlight w:val="none"/>
          <w:lang w:val="en-US" w:eastAsia="zh-CN"/>
        </w:rPr>
      </w:pPr>
      <w:r>
        <w:rPr>
          <w:rFonts w:hint="eastAsia" w:ascii="黑体" w:hAnsi="Times New Roman" w:eastAsia="黑体" w:cs="黑体"/>
          <w:color w:val="auto"/>
          <w:sz w:val="32"/>
          <w:szCs w:val="32"/>
          <w:highlight w:val="none"/>
        </w:rPr>
        <w:t>附件</w:t>
      </w:r>
      <w:r>
        <w:rPr>
          <w:rFonts w:hint="eastAsia" w:ascii="黑体" w:hAnsi="Times New Roman" w:eastAsia="黑体" w:cs="黑体"/>
          <w:color w:val="auto"/>
          <w:sz w:val="32"/>
          <w:szCs w:val="32"/>
          <w:highlight w:val="none"/>
          <w:lang w:val="en-US" w:eastAsia="zh-CN"/>
        </w:rPr>
        <w:t>2</w:t>
      </w:r>
    </w:p>
    <w:p>
      <w:pPr>
        <w:pStyle w:val="4"/>
        <w:keepNext w:val="0"/>
        <w:keepLines w:val="0"/>
        <w:pageBreakBefore w:val="0"/>
        <w:widowControl w:val="0"/>
        <w:kinsoku/>
        <w:wordWrap/>
        <w:overflowPunct w:val="0"/>
        <w:topLinePunct w:val="0"/>
        <w:autoSpaceDE/>
        <w:autoSpaceDN/>
        <w:bidi w:val="0"/>
        <w:adjustRightInd w:val="0"/>
        <w:snapToGrid w:val="0"/>
        <w:spacing w:after="0" w:line="740" w:lineRule="exact"/>
        <w:jc w:val="center"/>
        <w:textAlignment w:val="auto"/>
        <w:rPr>
          <w:rFonts w:hint="eastAsia" w:ascii="方正小标宋简体" w:hAnsi="方正小标宋简体" w:eastAsia="方正小标宋简体" w:cs="方正小标宋简体"/>
          <w:color w:val="000000" w:themeColor="text1"/>
          <w:kern w:val="2"/>
          <w:sz w:val="44"/>
          <w:szCs w:val="44"/>
          <w:highlight w:val="none"/>
          <w:lang w:val="en-US" w:eastAsia="zh-CN"/>
          <w14:textFill>
            <w14:solidFill>
              <w14:schemeClr w14:val="tx1"/>
            </w14:solidFill>
          </w14:textFill>
        </w:rPr>
      </w:pPr>
    </w:p>
    <w:p>
      <w:pPr>
        <w:pStyle w:val="4"/>
        <w:keepNext w:val="0"/>
        <w:keepLines w:val="0"/>
        <w:pageBreakBefore w:val="0"/>
        <w:widowControl w:val="0"/>
        <w:kinsoku/>
        <w:wordWrap/>
        <w:overflowPunct w:val="0"/>
        <w:topLinePunct w:val="0"/>
        <w:autoSpaceDE/>
        <w:autoSpaceDN/>
        <w:bidi w:val="0"/>
        <w:adjustRightInd w:val="0"/>
        <w:snapToGrid w:val="0"/>
        <w:spacing w:after="0" w:line="740" w:lineRule="exact"/>
        <w:jc w:val="center"/>
        <w:textAlignment w:val="auto"/>
        <w:rPr>
          <w:rFonts w:hint="eastAsia" w:ascii="方正小标宋简体" w:hAnsi="方正小标宋简体" w:eastAsia="方正小标宋简体" w:cs="方正小标宋简体"/>
          <w:color w:val="000000" w:themeColor="text1"/>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kern w:val="2"/>
          <w:sz w:val="44"/>
          <w:szCs w:val="44"/>
          <w:highlight w:val="none"/>
          <w:lang w:val="en-US" w:eastAsia="zh-CN"/>
          <w14:textFill>
            <w14:solidFill>
              <w14:schemeClr w14:val="tx1"/>
            </w14:solidFill>
          </w14:textFill>
        </w:rPr>
        <w:t>春节慰问活动资金</w:t>
      </w:r>
      <w:r>
        <w:rPr>
          <w:rFonts w:ascii="Times New Roman" w:hAnsi="Times New Roman" w:eastAsia="方正小标宋简体" w:cs="Times New Roman"/>
          <w:color w:val="auto"/>
          <w:kern w:val="2"/>
          <w:sz w:val="44"/>
          <w:szCs w:val="44"/>
          <w:highlight w:val="none"/>
          <w:lang w:val="en-US" w:eastAsia="zh-CN"/>
        </w:rPr>
        <w:t>专项预算绩效</w:t>
      </w:r>
      <w:r>
        <w:rPr>
          <w:rFonts w:hint="eastAsia" w:ascii="方正小标宋简体" w:hAnsi="方正小标宋简体" w:eastAsia="方正小标宋简体" w:cs="方正小标宋简体"/>
          <w:color w:val="000000" w:themeColor="text1"/>
          <w:kern w:val="2"/>
          <w:sz w:val="44"/>
          <w:szCs w:val="44"/>
          <w:highlight w:val="none"/>
          <w:lang w:val="en-US" w:eastAsia="zh-CN"/>
          <w14:textFill>
            <w14:solidFill>
              <w14:schemeClr w14:val="tx1"/>
            </w14:solidFill>
          </w14:textFill>
        </w:rPr>
        <w:t>评价报告</w:t>
      </w:r>
    </w:p>
    <w:p>
      <w:pPr>
        <w:pStyle w:val="14"/>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color w:val="000000" w:themeColor="text1"/>
          <w:kern w:val="2"/>
          <w:sz w:val="32"/>
          <w:szCs w:val="32"/>
          <w:highlight w:val="none"/>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黑体" w:hAnsi="黑体" w:eastAsia="黑体" w:cs="黑体"/>
          <w:color w:val="auto"/>
          <w:sz w:val="32"/>
          <w:szCs w:val="32"/>
          <w:highlight w:val="none"/>
          <w:lang w:val="zh-CN"/>
        </w:rPr>
      </w:pPr>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val="zh-CN"/>
        </w:rPr>
        <w:t>项目概况</w:t>
      </w:r>
    </w:p>
    <w:p>
      <w:pPr>
        <w:pStyle w:val="4"/>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2" w:firstLineChars="200"/>
        <w:jc w:val="both"/>
        <w:textAlignment w:val="auto"/>
        <w:rPr>
          <w:rFonts w:hint="eastAsia" w:ascii="楷体_GB2312" w:hAnsi="楷体_GB2312" w:eastAsia="楷体_GB2312" w:cs="楷体_GB2312"/>
          <w:b/>
          <w:color w:val="auto"/>
          <w:sz w:val="32"/>
          <w:szCs w:val="32"/>
          <w:highlight w:val="none"/>
          <w:u w:val="none"/>
          <w:lang w:val="zh-CN"/>
        </w:rPr>
      </w:pPr>
      <w:r>
        <w:rPr>
          <w:rFonts w:hint="eastAsia" w:ascii="楷体_GB2312" w:hAnsi="楷体_GB2312" w:eastAsia="楷体_GB2312" w:cs="楷体_GB2312"/>
          <w:b/>
          <w:color w:val="auto"/>
          <w:sz w:val="32"/>
          <w:szCs w:val="32"/>
          <w:highlight w:val="none"/>
          <w:u w:val="none"/>
          <w:lang w:val="zh-CN"/>
        </w:rPr>
        <w:t>（一）设立背景及基本情况。</w:t>
      </w:r>
    </w:p>
    <w:p>
      <w:pPr>
        <w:keepNext w:val="0"/>
        <w:keepLines w:val="0"/>
        <w:pageBreakBefore w:val="0"/>
        <w:widowControl w:val="0"/>
        <w:kinsoku/>
        <w:wordWrap/>
        <w:overflowPunct w:val="0"/>
        <w:topLinePunct w:val="0"/>
        <w:autoSpaceDE/>
        <w:autoSpaceDN/>
        <w:bidi w:val="0"/>
        <w:adjustRightInd w:val="0"/>
        <w:snapToGrid w:val="0"/>
        <w:spacing w:line="576" w:lineRule="exact"/>
        <w:ind w:left="0" w:firstLine="640" w:firstLineChars="200"/>
        <w:jc w:val="both"/>
        <w:textAlignment w:val="auto"/>
        <w:rPr>
          <w:rFonts w:hint="eastAsia" w:ascii="仿宋_GB2312" w:hAnsi="仿宋_GB2312" w:eastAsia="仿宋_GB2312" w:cs="仿宋_GB2312"/>
          <w:b w:val="0"/>
          <w:bCs w:val="0"/>
          <w:snapToGrid w:val="0"/>
          <w:color w:val="auto"/>
          <w:kern w:val="0"/>
          <w:sz w:val="32"/>
          <w:szCs w:val="32"/>
          <w:lang w:eastAsia="zh-CN" w:bidi="ar"/>
        </w:rPr>
      </w:pPr>
      <w:r>
        <w:rPr>
          <w:rFonts w:hint="eastAsia" w:ascii="仿宋_GB2312" w:hAnsi="仿宋_GB2312" w:eastAsia="仿宋_GB2312" w:cs="仿宋_GB2312"/>
          <w:b w:val="0"/>
          <w:bCs/>
          <w:color w:val="auto"/>
          <w:sz w:val="32"/>
          <w:szCs w:val="32"/>
        </w:rPr>
        <w:t>长期以来，</w:t>
      </w:r>
      <w:r>
        <w:rPr>
          <w:rFonts w:hint="eastAsia" w:ascii="仿宋_GB2312" w:hAnsi="仿宋_GB2312" w:eastAsia="仿宋_GB2312" w:cs="仿宋_GB2312"/>
          <w:b w:val="0"/>
          <w:bCs/>
          <w:color w:val="auto"/>
          <w:sz w:val="32"/>
          <w:szCs w:val="32"/>
          <w:lang w:eastAsia="zh-CN"/>
        </w:rPr>
        <w:t>我们</w:t>
      </w:r>
      <w:r>
        <w:rPr>
          <w:rFonts w:hint="eastAsia" w:ascii="仿宋_GB2312" w:hAnsi="仿宋_GB2312" w:eastAsia="仿宋_GB2312" w:cs="仿宋_GB2312"/>
          <w:b w:val="0"/>
          <w:bCs/>
          <w:color w:val="auto"/>
          <w:sz w:val="32"/>
          <w:szCs w:val="32"/>
        </w:rPr>
        <w:t>始终</w:t>
      </w:r>
      <w:r>
        <w:rPr>
          <w:rFonts w:hint="eastAsia" w:ascii="仿宋_GB2312" w:hAnsi="仿宋_GB2312" w:eastAsia="仿宋_GB2312" w:cs="仿宋_GB2312"/>
          <w:b w:val="0"/>
          <w:bCs/>
          <w:color w:val="auto"/>
          <w:sz w:val="32"/>
          <w:szCs w:val="32"/>
          <w:lang w:eastAsia="zh-CN"/>
        </w:rPr>
        <w:t>将</w:t>
      </w:r>
      <w:r>
        <w:rPr>
          <w:rFonts w:hint="eastAsia" w:ascii="仿宋_GB2312" w:hAnsi="仿宋_GB2312" w:eastAsia="仿宋_GB2312" w:cs="仿宋_GB2312"/>
          <w:b w:val="0"/>
          <w:bCs/>
          <w:color w:val="auto"/>
          <w:sz w:val="32"/>
          <w:szCs w:val="32"/>
        </w:rPr>
        <w:t>关心帮扶计生特殊家庭</w:t>
      </w:r>
      <w:r>
        <w:rPr>
          <w:rFonts w:hint="eastAsia" w:ascii="仿宋_GB2312" w:hAnsi="仿宋_GB2312" w:eastAsia="仿宋_GB2312" w:cs="仿宋_GB2312"/>
          <w:b w:val="0"/>
          <w:bCs/>
          <w:color w:val="auto"/>
          <w:sz w:val="32"/>
          <w:szCs w:val="32"/>
          <w:shd w:val="clear" w:color="auto" w:fill="FFFFFF"/>
        </w:rPr>
        <w:t>工作</w:t>
      </w:r>
      <w:r>
        <w:rPr>
          <w:rFonts w:hint="eastAsia" w:ascii="仿宋_GB2312" w:hAnsi="仿宋_GB2312" w:eastAsia="仿宋_GB2312" w:cs="仿宋_GB2312"/>
          <w:b w:val="0"/>
          <w:bCs/>
          <w:color w:val="auto"/>
          <w:sz w:val="32"/>
          <w:szCs w:val="32"/>
        </w:rPr>
        <w:t>作为重要政治任务，</w:t>
      </w:r>
      <w:r>
        <w:rPr>
          <w:rFonts w:hint="eastAsia" w:ascii="仿宋_GB2312" w:hAnsi="仿宋_GB2312" w:eastAsia="仿宋_GB2312" w:cs="仿宋_GB2312"/>
          <w:b w:val="0"/>
          <w:bCs/>
          <w:color w:val="auto"/>
          <w:sz w:val="32"/>
          <w:szCs w:val="32"/>
          <w:shd w:val="clear" w:color="auto" w:fill="FFFFFF"/>
        </w:rPr>
        <w:t>忠实履行职责使命，</w:t>
      </w:r>
      <w:r>
        <w:rPr>
          <w:rFonts w:hint="eastAsia" w:ascii="仿宋_GB2312" w:hAnsi="仿宋_GB2312" w:eastAsia="仿宋_GB2312" w:cs="仿宋_GB2312"/>
          <w:b w:val="0"/>
          <w:bCs w:val="0"/>
          <w:snapToGrid w:val="0"/>
          <w:color w:val="auto"/>
          <w:kern w:val="0"/>
          <w:sz w:val="32"/>
          <w:szCs w:val="32"/>
        </w:rPr>
        <w:t>根据</w:t>
      </w:r>
      <w:r>
        <w:rPr>
          <w:rFonts w:hint="eastAsia" w:ascii="仿宋_GB2312" w:hAnsi="仿宋_GB2312" w:eastAsia="仿宋_GB2312" w:cs="仿宋_GB2312"/>
          <w:b w:val="0"/>
          <w:bCs w:val="0"/>
          <w:snapToGrid w:val="0"/>
          <w:color w:val="auto"/>
          <w:kern w:val="0"/>
          <w:sz w:val="32"/>
          <w:szCs w:val="32"/>
          <w:lang w:bidi="ar"/>
        </w:rPr>
        <w:t>《</w:t>
      </w:r>
      <w:r>
        <w:rPr>
          <w:rFonts w:hint="eastAsia" w:ascii="仿宋_GB2312" w:hAnsi="仿宋_GB2312" w:eastAsia="仿宋_GB2312" w:cs="仿宋_GB2312"/>
          <w:b w:val="0"/>
          <w:bCs w:val="0"/>
          <w:snapToGrid w:val="0"/>
          <w:color w:val="auto"/>
          <w:kern w:val="0"/>
          <w:sz w:val="32"/>
          <w:szCs w:val="32"/>
        </w:rPr>
        <w:t>广元市人口和计划生育领导小组关于建立市县两级部门联系计划生育特殊家庭制度的通知</w:t>
      </w:r>
      <w:r>
        <w:rPr>
          <w:rFonts w:hint="eastAsia" w:ascii="仿宋_GB2312" w:hAnsi="仿宋_GB2312" w:eastAsia="仿宋_GB2312" w:cs="仿宋_GB2312"/>
          <w:b w:val="0"/>
          <w:bCs w:val="0"/>
          <w:snapToGrid w:val="0"/>
          <w:color w:val="auto"/>
          <w:kern w:val="0"/>
          <w:sz w:val="32"/>
          <w:szCs w:val="32"/>
          <w:lang w:bidi="ar"/>
        </w:rPr>
        <w:t>》</w:t>
      </w:r>
      <w:r>
        <w:rPr>
          <w:rFonts w:hint="eastAsia" w:ascii="仿宋_GB2312" w:hAnsi="仿宋_GB2312" w:eastAsia="仿宋_GB2312" w:cs="仿宋_GB2312"/>
          <w:b w:val="0"/>
          <w:bCs w:val="0"/>
          <w:snapToGrid w:val="0"/>
          <w:color w:val="auto"/>
          <w:kern w:val="0"/>
          <w:sz w:val="32"/>
          <w:szCs w:val="32"/>
        </w:rPr>
        <w:t>（广人口领</w:t>
      </w:r>
      <w:r>
        <w:rPr>
          <w:rFonts w:hint="eastAsia" w:ascii="仿宋_GB2312" w:hAnsi="仿宋_GB2312" w:eastAsia="仿宋_GB2312" w:cs="仿宋_GB2312"/>
          <w:b w:val="0"/>
          <w:bCs w:val="0"/>
          <w:snapToGrid w:val="0"/>
          <w:color w:val="auto"/>
          <w:kern w:val="0"/>
          <w:sz w:val="32"/>
          <w:szCs w:val="32"/>
          <w:lang w:bidi="ar"/>
        </w:rPr>
        <w:t>〔2017〕5号</w:t>
      </w:r>
      <w:r>
        <w:rPr>
          <w:rFonts w:hint="eastAsia" w:ascii="仿宋_GB2312" w:hAnsi="仿宋_GB2312" w:eastAsia="仿宋_GB2312" w:cs="仿宋_GB2312"/>
          <w:b w:val="0"/>
          <w:bCs w:val="0"/>
          <w:snapToGrid w:val="0"/>
          <w:color w:val="auto"/>
          <w:kern w:val="0"/>
          <w:sz w:val="32"/>
          <w:szCs w:val="32"/>
        </w:rPr>
        <w:t>）明确的</w:t>
      </w:r>
      <w:r>
        <w:rPr>
          <w:rFonts w:hint="eastAsia" w:ascii="仿宋_GB2312" w:hAnsi="仿宋_GB2312" w:eastAsia="仿宋_GB2312" w:cs="仿宋_GB2312"/>
          <w:b w:val="0"/>
          <w:bCs w:val="0"/>
          <w:snapToGrid w:val="0"/>
          <w:color w:val="auto"/>
          <w:kern w:val="0"/>
          <w:sz w:val="32"/>
          <w:szCs w:val="32"/>
          <w:lang w:eastAsia="zh-CN"/>
        </w:rPr>
        <w:t>市卫生健康</w:t>
      </w:r>
      <w:r>
        <w:rPr>
          <w:rFonts w:hint="eastAsia" w:ascii="仿宋_GB2312" w:hAnsi="仿宋_GB2312" w:eastAsia="仿宋_GB2312" w:cs="仿宋_GB2312"/>
          <w:b w:val="0"/>
          <w:bCs w:val="0"/>
          <w:snapToGrid w:val="0"/>
          <w:color w:val="auto"/>
          <w:kern w:val="0"/>
          <w:sz w:val="32"/>
          <w:szCs w:val="32"/>
        </w:rPr>
        <w:t>委对口联系广元经济技术开发区盘龙镇</w:t>
      </w:r>
      <w:r>
        <w:rPr>
          <w:rFonts w:hint="eastAsia" w:ascii="仿宋_GB2312" w:hAnsi="仿宋_GB2312" w:eastAsia="仿宋_GB2312" w:cs="仿宋_GB2312"/>
          <w:b w:val="0"/>
          <w:bCs w:val="0"/>
          <w:snapToGrid w:val="0"/>
          <w:color w:val="auto"/>
          <w:kern w:val="0"/>
          <w:sz w:val="32"/>
          <w:szCs w:val="32"/>
          <w:lang w:bidi="ar"/>
        </w:rPr>
        <w:t>“每年至少开展两次以上不同形式的慰问活动”</w:t>
      </w:r>
      <w:r>
        <w:rPr>
          <w:rFonts w:hint="eastAsia" w:ascii="仿宋_GB2312" w:hAnsi="仿宋_GB2312" w:eastAsia="仿宋_GB2312" w:cs="仿宋_GB2312"/>
          <w:b w:val="0"/>
          <w:bCs w:val="0"/>
          <w:snapToGrid w:val="0"/>
          <w:color w:val="auto"/>
          <w:kern w:val="0"/>
          <w:sz w:val="32"/>
          <w:szCs w:val="32"/>
          <w:lang w:eastAsia="zh-CN" w:bidi="ar"/>
        </w:rPr>
        <w:t>的</w:t>
      </w:r>
      <w:r>
        <w:rPr>
          <w:rFonts w:hint="eastAsia" w:ascii="仿宋_GB2312" w:hAnsi="仿宋_GB2312" w:eastAsia="仿宋_GB2312" w:cs="仿宋_GB2312"/>
          <w:b w:val="0"/>
          <w:bCs w:val="0"/>
          <w:snapToGrid w:val="0"/>
          <w:color w:val="auto"/>
          <w:kern w:val="0"/>
          <w:sz w:val="32"/>
          <w:szCs w:val="32"/>
          <w:lang w:bidi="ar"/>
        </w:rPr>
        <w:t>要求</w:t>
      </w:r>
      <w:r>
        <w:rPr>
          <w:rFonts w:hint="eastAsia" w:ascii="仿宋_GB2312" w:hAnsi="仿宋_GB2312" w:eastAsia="仿宋_GB2312" w:cs="仿宋_GB2312"/>
          <w:b w:val="0"/>
          <w:bCs w:val="0"/>
          <w:snapToGrid w:val="0"/>
          <w:color w:val="auto"/>
          <w:kern w:val="0"/>
          <w:sz w:val="32"/>
          <w:szCs w:val="32"/>
          <w:lang w:eastAsia="zh-CN" w:bidi="ar"/>
        </w:rPr>
        <w:t>开展相关工作。</w:t>
      </w:r>
    </w:p>
    <w:p>
      <w:pPr>
        <w:ind w:firstLine="640" w:firstLineChars="200"/>
        <w:rPr>
          <w:rFonts w:hint="default"/>
          <w:color w:val="auto"/>
          <w:lang w:val="en-US" w:eastAsia="zh-CN"/>
        </w:rPr>
      </w:pPr>
      <w:r>
        <w:rPr>
          <w:rFonts w:hint="eastAsia" w:ascii="仿宋_GB2312" w:hAnsi="仿宋_GB2312" w:eastAsia="仿宋_GB2312" w:cs="仿宋_GB2312"/>
          <w:i w:val="0"/>
          <w:iCs w:val="0"/>
          <w:caps w:val="0"/>
          <w:color w:val="auto"/>
          <w:spacing w:val="0"/>
          <w:sz w:val="32"/>
          <w:szCs w:val="32"/>
          <w:lang w:eastAsia="zh-CN"/>
        </w:rPr>
        <w:t>盘龙镇</w:t>
      </w:r>
      <w:r>
        <w:rPr>
          <w:rFonts w:hint="eastAsia" w:ascii="仿宋_GB2312" w:hAnsi="仿宋_GB2312" w:eastAsia="仿宋_GB2312" w:cs="仿宋_GB2312"/>
          <w:i w:val="0"/>
          <w:iCs w:val="0"/>
          <w:caps w:val="0"/>
          <w:color w:val="auto"/>
          <w:spacing w:val="0"/>
          <w:sz w:val="32"/>
          <w:szCs w:val="32"/>
        </w:rPr>
        <w:t>幅员面积71平方公里，下辖10个行政村、3个社区，总人口近2.4万人，位于广元市利州区中部，广元城区西部，广元城区与宝轮城区之间，广元经济技术开发区和广元市三江新区腹心地带</w:t>
      </w:r>
      <w:r>
        <w:rPr>
          <w:rFonts w:hint="eastAsia" w:ascii="仿宋_GB2312" w:hAnsi="仿宋_GB2312" w:eastAsia="仿宋_GB2312" w:cs="仿宋_GB2312"/>
          <w:i w:val="0"/>
          <w:iCs w:val="0"/>
          <w:caps w:val="0"/>
          <w:color w:val="auto"/>
          <w:spacing w:val="0"/>
          <w:sz w:val="32"/>
          <w:szCs w:val="32"/>
          <w:lang w:val="en-US" w:eastAsia="zh-CN"/>
        </w:rPr>
        <w:t>。2024年</w:t>
      </w:r>
      <w:r>
        <w:rPr>
          <w:rFonts w:hint="eastAsia" w:ascii="仿宋_GB2312" w:hAnsi="仿宋_GB2312" w:eastAsia="仿宋_GB2312" w:cs="仿宋_GB2312"/>
          <w:color w:val="auto"/>
          <w:sz w:val="32"/>
          <w:szCs w:val="32"/>
          <w:lang w:val="en-US" w:eastAsia="zh-CN"/>
        </w:rPr>
        <w:t>全镇</w:t>
      </w:r>
      <w:bookmarkStart w:id="0" w:name="OLE_LINK1"/>
      <w:r>
        <w:rPr>
          <w:rFonts w:hint="eastAsia" w:ascii="仿宋_GB2312" w:hAnsi="仿宋_GB2312" w:eastAsia="仿宋_GB2312" w:cs="仿宋_GB2312"/>
          <w:color w:val="auto"/>
          <w:sz w:val="32"/>
          <w:szCs w:val="32"/>
          <w:lang w:val="en-US" w:eastAsia="zh-CN"/>
        </w:rPr>
        <w:t>计划生育特殊家庭</w:t>
      </w:r>
      <w:r>
        <w:rPr>
          <w:rFonts w:hint="eastAsia" w:ascii="仿宋_GB2312" w:hAnsi="仿宋_GB2312" w:eastAsia="仿宋_GB2312" w:cs="仿宋_GB2312"/>
          <w:i w:val="0"/>
          <w:iCs w:val="0"/>
          <w:caps w:val="0"/>
          <w:color w:val="auto"/>
          <w:spacing w:val="0"/>
          <w:sz w:val="32"/>
          <w:szCs w:val="32"/>
          <w:lang w:val="en-US" w:eastAsia="zh-CN"/>
        </w:rPr>
        <w:t>四类对象</w:t>
      </w:r>
      <w:bookmarkEnd w:id="0"/>
      <w:r>
        <w:rPr>
          <w:rFonts w:hint="eastAsia" w:ascii="仿宋_GB2312" w:hAnsi="仿宋_GB2312" w:eastAsia="仿宋_GB2312" w:cs="仿宋_GB2312"/>
          <w:i w:val="0"/>
          <w:iCs w:val="0"/>
          <w:caps w:val="0"/>
          <w:color w:val="auto"/>
          <w:spacing w:val="0"/>
          <w:sz w:val="32"/>
          <w:szCs w:val="32"/>
          <w:lang w:val="en-US" w:eastAsia="zh-CN"/>
        </w:rPr>
        <w:t>共计</w:t>
      </w:r>
      <w:bookmarkStart w:id="1" w:name="OLE_LINK3"/>
      <w:r>
        <w:rPr>
          <w:rFonts w:hint="eastAsia" w:ascii="仿宋_GB2312" w:hAnsi="仿宋_GB2312" w:eastAsia="仿宋_GB2312" w:cs="仿宋_GB2312"/>
          <w:i w:val="0"/>
          <w:iCs w:val="0"/>
          <w:caps w:val="0"/>
          <w:color w:val="auto"/>
          <w:spacing w:val="0"/>
          <w:sz w:val="32"/>
          <w:szCs w:val="32"/>
          <w:lang w:val="en-US" w:eastAsia="zh-CN"/>
        </w:rPr>
        <w:t>928人</w:t>
      </w:r>
      <w:bookmarkEnd w:id="1"/>
      <w:r>
        <w:rPr>
          <w:rFonts w:hint="eastAsia" w:ascii="仿宋_GB2312" w:hAnsi="仿宋_GB2312" w:eastAsia="仿宋_GB2312" w:cs="仿宋_GB2312"/>
          <w:i w:val="0"/>
          <w:iCs w:val="0"/>
          <w:caps w:val="0"/>
          <w:color w:val="auto"/>
          <w:spacing w:val="0"/>
          <w:sz w:val="32"/>
          <w:szCs w:val="32"/>
          <w:lang w:val="en-US" w:eastAsia="zh-CN"/>
        </w:rPr>
        <w:t>，其中</w:t>
      </w:r>
      <w:r>
        <w:rPr>
          <w:rFonts w:hint="eastAsia" w:ascii="仿宋_GB2312" w:hAnsi="仿宋_GB2312" w:eastAsia="仿宋_GB2312" w:cs="仿宋_GB2312"/>
          <w:color w:val="auto"/>
          <w:sz w:val="32"/>
          <w:szCs w:val="32"/>
          <w:lang w:val="en-US" w:eastAsia="zh-CN"/>
        </w:rPr>
        <w:t>农村奖励扶助对象372人，特别扶助对象19人，特扶（其他）2人，市特困对象64人，独生子女父母奖励金471人。</w:t>
      </w:r>
    </w:p>
    <w:p>
      <w:pPr>
        <w:pStyle w:val="4"/>
        <w:keepNext w:val="0"/>
        <w:keepLines w:val="0"/>
        <w:pageBreakBefore w:val="0"/>
        <w:widowControl w:val="0"/>
        <w:numPr>
          <w:ilvl w:val="0"/>
          <w:numId w:val="0"/>
        </w:numPr>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楷体_GB2312" w:hAnsi="楷体_GB2312" w:eastAsia="楷体_GB2312" w:cs="楷体_GB2312"/>
          <w:b w:val="0"/>
          <w:bCs w:val="0"/>
          <w:color w:val="000000" w:themeColor="text1"/>
          <w:kern w:val="2"/>
          <w:sz w:val="32"/>
          <w:szCs w:val="32"/>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（二）</w:t>
      </w:r>
      <w:r>
        <w:rPr>
          <w:rFonts w:hint="eastAsia" w:ascii="楷体_GB2312" w:hAnsi="楷体_GB2312" w:eastAsia="楷体_GB2312" w:cs="楷体_GB2312"/>
          <w:b/>
          <w:color w:val="000000" w:themeColor="text1"/>
          <w:sz w:val="32"/>
          <w:szCs w:val="32"/>
          <w:highlight w:val="none"/>
          <w:u w:val="none"/>
          <w:lang w:val="en-US" w:eastAsia="zh-CN"/>
          <w14:textFill>
            <w14:solidFill>
              <w14:schemeClr w14:val="tx1"/>
            </w14:solidFill>
          </w14:textFill>
        </w:rPr>
        <w:t>实施目的及支持方向。</w:t>
      </w:r>
    </w:p>
    <w:p>
      <w:pPr>
        <w:pStyle w:val="5"/>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2" w:firstLineChars="200"/>
        <w:jc w:val="both"/>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highlight w:val="none"/>
          <w:u w:val="none"/>
          <w:lang w:val="en-US" w:eastAsia="zh-CN"/>
          <w14:textFill>
            <w14:solidFill>
              <w14:schemeClr w14:val="tx1"/>
            </w14:solidFill>
          </w14:textFill>
        </w:rPr>
        <w:t>实施目的：</w:t>
      </w:r>
      <w:r>
        <w:rPr>
          <w:rFonts w:hint="eastAsia" w:ascii="仿宋_GB2312" w:hAnsi="仿宋_GB2312" w:eastAsia="仿宋_GB2312" w:cs="仿宋_GB2312"/>
          <w:b w:val="0"/>
          <w:bCs w:val="0"/>
          <w:snapToGrid w:val="0"/>
          <w:color w:val="000000"/>
          <w:kern w:val="0"/>
          <w:sz w:val="32"/>
          <w:szCs w:val="32"/>
        </w:rPr>
        <w:t>计划生育特殊家庭是社会中的弱势群体，需要得到社会和部门的关怀和扶助，帮助解决在养老、生活等方面存在的困难和问题，引到他们积极面对生活、重新融入社会</w:t>
      </w:r>
      <w:r>
        <w:rPr>
          <w:rFonts w:hint="eastAsia" w:ascii="仿宋_GB2312" w:hAnsi="仿宋_GB2312" w:eastAsia="仿宋_GB2312" w:cs="仿宋_GB2312"/>
          <w:b w:val="0"/>
          <w:bCs w:val="0"/>
          <w:snapToGrid w:val="0"/>
          <w:color w:val="000000"/>
          <w:kern w:val="0"/>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line="576" w:lineRule="exact"/>
        <w:ind w:left="0" w:firstLine="642" w:firstLineChars="200"/>
        <w:jc w:val="both"/>
        <w:textAlignment w:val="auto"/>
        <w:rPr>
          <w:rFonts w:hint="eastAsia" w:ascii="仿宋_GB2312" w:hAnsi="仿宋_GB2312" w:eastAsia="仿宋_GB2312" w:cs="仿宋_GB2312"/>
          <w:b w:val="0"/>
          <w:bCs w:val="0"/>
          <w:color w:val="000000" w:themeColor="text1"/>
          <w:kern w:val="2"/>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highlight w:val="none"/>
          <w:u w:val="none"/>
          <w:lang w:val="en-US" w:eastAsia="zh-CN"/>
          <w14:textFill>
            <w14:solidFill>
              <w14:schemeClr w14:val="tx1"/>
            </w14:solidFill>
          </w14:textFill>
        </w:rPr>
        <w:t>支持方向：</w:t>
      </w:r>
      <w:bookmarkStart w:id="2" w:name="OLE_LINK2"/>
      <w:r>
        <w:rPr>
          <w:rFonts w:hint="eastAsia" w:ascii="仿宋_GB2312" w:hAnsi="仿宋_GB2312" w:eastAsia="仿宋_GB2312" w:cs="仿宋_GB2312"/>
          <w:b w:val="0"/>
          <w:bCs w:val="0"/>
          <w:snapToGrid w:val="0"/>
          <w:color w:val="000000"/>
          <w:kern w:val="0"/>
          <w:sz w:val="32"/>
          <w:szCs w:val="32"/>
        </w:rPr>
        <w:t>广元经济技术开发区盘龙镇</w:t>
      </w:r>
      <w:r>
        <w:rPr>
          <w:rFonts w:hint="eastAsia" w:ascii="仿宋_GB2312" w:hAnsi="仿宋_GB2312" w:eastAsia="仿宋_GB2312" w:cs="仿宋_GB2312"/>
          <w:color w:val="auto"/>
          <w:sz w:val="32"/>
          <w:szCs w:val="32"/>
          <w:lang w:val="en-US" w:eastAsia="zh-CN"/>
        </w:rPr>
        <w:t>计划生育特殊家庭</w:t>
      </w:r>
      <w:r>
        <w:rPr>
          <w:rFonts w:hint="eastAsia" w:ascii="仿宋_GB2312" w:hAnsi="仿宋_GB2312" w:eastAsia="仿宋_GB2312" w:cs="仿宋_GB2312"/>
          <w:i w:val="0"/>
          <w:iCs w:val="0"/>
          <w:caps w:val="0"/>
          <w:color w:val="auto"/>
          <w:spacing w:val="0"/>
          <w:sz w:val="32"/>
          <w:szCs w:val="32"/>
          <w:lang w:val="en-US" w:eastAsia="zh-CN"/>
        </w:rPr>
        <w:t>四类对象中特别困难的</w:t>
      </w:r>
      <w:r>
        <w:rPr>
          <w:rFonts w:hint="eastAsia" w:ascii="仿宋_GB2312" w:hAnsi="仿宋_GB2312" w:eastAsia="仿宋_GB2312" w:cs="仿宋_GB2312"/>
          <w:b w:val="0"/>
          <w:bCs w:val="0"/>
          <w:snapToGrid w:val="0"/>
          <w:color w:val="auto"/>
          <w:kern w:val="0"/>
          <w:sz w:val="32"/>
          <w:szCs w:val="32"/>
          <w:lang w:val="en-US" w:eastAsia="zh-CN"/>
        </w:rPr>
        <w:t>23户</w:t>
      </w:r>
      <w:r>
        <w:rPr>
          <w:rFonts w:hint="eastAsia" w:ascii="仿宋_GB2312" w:hAnsi="仿宋_GB2312" w:eastAsia="仿宋_GB2312" w:cs="仿宋_GB2312"/>
          <w:b w:val="0"/>
          <w:bCs w:val="0"/>
          <w:snapToGrid w:val="0"/>
          <w:color w:val="auto"/>
          <w:kern w:val="0"/>
          <w:sz w:val="32"/>
          <w:szCs w:val="32"/>
        </w:rPr>
        <w:t>计划生育特殊家庭</w:t>
      </w:r>
      <w:bookmarkEnd w:id="2"/>
      <w:r>
        <w:rPr>
          <w:rFonts w:hint="eastAsia" w:ascii="仿宋_GB2312" w:hAnsi="仿宋_GB2312" w:eastAsia="仿宋_GB2312" w:cs="仿宋_GB2312"/>
          <w:b w:val="0"/>
          <w:bCs w:val="0"/>
          <w:snapToGrid w:val="0"/>
          <w:color w:val="auto"/>
          <w:kern w:val="0"/>
          <w:sz w:val="32"/>
          <w:szCs w:val="32"/>
          <w:lang w:eastAsia="zh-CN"/>
        </w:rPr>
        <w:t>。</w:t>
      </w:r>
    </w:p>
    <w:p>
      <w:pPr>
        <w:pStyle w:val="4"/>
        <w:keepNext w:val="0"/>
        <w:keepLines w:val="0"/>
        <w:pageBreakBefore w:val="0"/>
        <w:widowControl w:val="0"/>
        <w:numPr>
          <w:ilvl w:val="0"/>
          <w:numId w:val="0"/>
        </w:numPr>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2" w:firstLineChars="200"/>
        <w:jc w:val="both"/>
        <w:textAlignment w:val="auto"/>
        <w:rPr>
          <w:rFonts w:hint="eastAsia"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color w:val="000000" w:themeColor="text1"/>
          <w:kern w:val="2"/>
          <w:sz w:val="32"/>
          <w:szCs w:val="32"/>
          <w:lang w:val="zh-CN" w:eastAsia="zh-CN" w:bidi="ar-SA"/>
          <w14:textFill>
            <w14:solidFill>
              <w14:schemeClr w14:val="tx1"/>
            </w14:solidFill>
          </w14:textFill>
        </w:rPr>
        <w:t>（三）</w:t>
      </w:r>
      <w:r>
        <w:rPr>
          <w:rFonts w:hint="eastAsia" w:ascii="楷体_GB2312" w:hAnsi="楷体_GB2312" w:eastAsia="楷体_GB2312" w:cs="楷体_GB2312"/>
          <w:b/>
          <w:color w:val="000000" w:themeColor="text1"/>
          <w:sz w:val="32"/>
          <w:szCs w:val="32"/>
          <w:highlight w:val="none"/>
          <w:u w:val="none"/>
          <w:lang w:val="en-US" w:eastAsia="zh-CN"/>
          <w14:textFill>
            <w14:solidFill>
              <w14:schemeClr w14:val="tx1"/>
            </w14:solidFill>
          </w14:textFill>
        </w:rPr>
        <w:t>预算安排及分配管理</w:t>
      </w:r>
      <w:r>
        <w:rPr>
          <w:rFonts w:hint="eastAsia"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t>。</w:t>
      </w:r>
    </w:p>
    <w:p>
      <w:pPr>
        <w:pStyle w:val="5"/>
        <w:keepNext w:val="0"/>
        <w:keepLines w:val="0"/>
        <w:pageBreakBefore w:val="0"/>
        <w:widowControl w:val="0"/>
        <w:numPr>
          <w:ilvl w:val="0"/>
          <w:numId w:val="0"/>
        </w:numPr>
        <w:suppressAutoHyphens/>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color w:val="000000" w:themeColor="text1"/>
          <w:kern w:val="2"/>
          <w:sz w:val="32"/>
          <w:szCs w:val="32"/>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计划生育特殊家庭关怀</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资金由</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2024年计划生育服务</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市级</w:t>
      </w: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补助</w:t>
      </w:r>
      <w:r>
        <w:rPr>
          <w:rFonts w:hint="eastAsia" w:ascii="仿宋_GB2312" w:hAnsi="仿宋_GB2312" w:eastAsia="仿宋_GB2312" w:cs="仿宋_GB2312"/>
          <w:b w:val="0"/>
          <w:bCs w:val="0"/>
          <w:color w:val="000000" w:themeColor="text1"/>
          <w:kern w:val="2"/>
          <w:sz w:val="32"/>
          <w:szCs w:val="32"/>
          <w14:textFill>
            <w14:solidFill>
              <w14:schemeClr w14:val="tx1"/>
            </w14:solidFill>
          </w14:textFill>
        </w:rPr>
        <w:t>资金构成</w:t>
      </w: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。共计</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23户1.15万元，</w:t>
      </w:r>
      <w:r>
        <w:rPr>
          <w:rFonts w:hint="eastAsia" w:ascii="仿宋_GB2312" w:hAnsi="仿宋_GB2312" w:eastAsia="仿宋_GB2312" w:cs="仿宋_GB2312"/>
          <w:b w:val="0"/>
          <w:bCs w:val="0"/>
          <w:color w:val="000000" w:themeColor="text1"/>
          <w:kern w:val="2"/>
          <w:sz w:val="32"/>
          <w:szCs w:val="32"/>
          <w:lang w:eastAsia="zh-CN"/>
          <w14:textFill>
            <w14:solidFill>
              <w14:schemeClr w14:val="tx1"/>
            </w14:solidFill>
          </w14:textFill>
        </w:rPr>
        <w:t>每户</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500元。</w:t>
      </w:r>
      <w:r>
        <w:rPr>
          <w:rFonts w:hint="eastAsia" w:ascii="仿宋_GB2312" w:hAnsi="仿宋_GB2312" w:eastAsia="仿宋_GB2312" w:cs="仿宋_GB2312"/>
          <w:b w:val="0"/>
          <w:bCs w:val="0"/>
          <w:color w:val="000000" w:themeColor="text1"/>
          <w:kern w:val="2"/>
          <w:sz w:val="32"/>
          <w:szCs w:val="32"/>
          <w:lang w:val="zh-CN" w:eastAsia="zh-CN"/>
          <w14:textFill>
            <w14:solidFill>
              <w14:schemeClr w14:val="tx1"/>
            </w14:solidFill>
          </w14:textFill>
        </w:rPr>
        <w:t>实行专账管理、专项核算、专款专用，无滞留、挤占、挪用项目资金及改变资金用途等情况。</w:t>
      </w:r>
    </w:p>
    <w:p>
      <w:pPr>
        <w:pStyle w:val="4"/>
        <w:keepNext w:val="0"/>
        <w:keepLines w:val="0"/>
        <w:pageBreakBefore w:val="0"/>
        <w:widowControl w:val="0"/>
        <w:numPr>
          <w:ilvl w:val="0"/>
          <w:numId w:val="0"/>
        </w:numPr>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2" w:firstLineChars="200"/>
        <w:jc w:val="both"/>
        <w:textAlignment w:val="auto"/>
        <w:rPr>
          <w:rFonts w:hint="eastAsia"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color w:val="000000" w:themeColor="text1"/>
          <w:kern w:val="2"/>
          <w:sz w:val="32"/>
          <w:szCs w:val="32"/>
          <w:lang w:val="zh-CN" w:eastAsia="zh-CN" w:bidi="ar-SA"/>
          <w14:textFill>
            <w14:solidFill>
              <w14:schemeClr w14:val="tx1"/>
            </w14:solidFill>
          </w14:textFill>
        </w:rPr>
        <w:t>（四）</w:t>
      </w:r>
      <w:r>
        <w:rPr>
          <w:rFonts w:hint="eastAsia"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t>项目绩效目标设置。</w:t>
      </w:r>
    </w:p>
    <w:p>
      <w:pPr>
        <w:adjustRightInd w:val="0"/>
        <w:snapToGrid w:val="0"/>
        <w:spacing w:line="560" w:lineRule="exact"/>
        <w:ind w:firstLine="640" w:firstLineChars="200"/>
        <w:rPr>
          <w:rFonts w:hint="eastAsia"/>
          <w:color w:val="FF0000"/>
          <w:lang w:val="en-US" w:eastAsia="zh-CN"/>
        </w:rPr>
      </w:pP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根据项目实施要求，绩效目标通过定量指标和定性指标进行设置，包括产出指标、效益指标、满意度指标，积极开展绩效自评。</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黑体" w:hAnsi="黑体" w:eastAsia="黑体" w:cs="黑体"/>
          <w:color w:val="000000" w:themeColor="text1"/>
          <w:sz w:val="32"/>
          <w:szCs w:val="32"/>
          <w:highlight w:val="none"/>
          <w:lang w:eastAsia="zh-CN"/>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二、</w:t>
      </w:r>
      <w:r>
        <w:rPr>
          <w:rFonts w:hint="eastAsia" w:ascii="黑体" w:hAnsi="黑体" w:eastAsia="黑体" w:cs="黑体"/>
          <w:color w:val="000000" w:themeColor="text1"/>
          <w:sz w:val="32"/>
          <w:szCs w:val="32"/>
          <w:highlight w:val="none"/>
          <w:lang w:eastAsia="zh-CN"/>
          <w14:textFill>
            <w14:solidFill>
              <w14:schemeClr w14:val="tx1"/>
            </w14:solidFill>
          </w14:textFill>
        </w:rPr>
        <w:t>评价实施</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2" w:firstLineChars="200"/>
        <w:jc w:val="both"/>
        <w:textAlignment w:val="auto"/>
        <w:outlineLvl w:val="9"/>
        <w:rPr>
          <w:rFonts w:hint="default" w:ascii="仿宋_GB2312" w:hAnsi="仿宋_GB2312" w:eastAsia="仿宋_GB2312" w:cs="仿宋_GB2312"/>
          <w:b w:val="0"/>
          <w:bCs w:val="0"/>
          <w:snapToGrid w:val="0"/>
          <w:color w:val="000000"/>
          <w:kern w:val="0"/>
          <w:sz w:val="32"/>
          <w:szCs w:val="32"/>
          <w:lang w:eastAsia="zh-CN"/>
        </w:rPr>
      </w:pPr>
      <w:r>
        <w:rPr>
          <w:rFonts w:hint="eastAsia" w:ascii="楷体_GB2312" w:hAnsi="楷体_GB2312" w:eastAsia="楷体_GB2312" w:cs="楷体_GB2312"/>
          <w:b/>
          <w:color w:val="000000" w:themeColor="text1"/>
          <w:sz w:val="32"/>
          <w:szCs w:val="32"/>
          <w:highlight w:val="none"/>
          <w:u w:val="none"/>
          <w:lang w:val="zh-CN"/>
          <w14:textFill>
            <w14:solidFill>
              <w14:schemeClr w14:val="tx1"/>
            </w14:solidFill>
          </w14:textFill>
        </w:rPr>
        <w:t>（一）评价目的。</w:t>
      </w:r>
    </w:p>
    <w:p>
      <w:pPr>
        <w:adjustRightInd w:val="0"/>
        <w:snapToGrid w:val="0"/>
        <w:spacing w:line="560" w:lineRule="exact"/>
        <w:ind w:firstLine="640" w:firstLineChars="200"/>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依据相关绩效考核文件要求，考核资金支出效率及综合效果，及时总结经验，分析存在的问题和原因，切实采取有效措施进一步改进和加强财政资金管理，不断提高资金使用效率，为后续财政资金预算及使用提供依据。通过绩效评价，树立绩效管理理念，做好预算绩效管理，提高财政资金效益。</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2" w:firstLineChars="200"/>
        <w:jc w:val="both"/>
        <w:textAlignment w:val="auto"/>
        <w:outlineLvl w:val="9"/>
        <w:rPr>
          <w:rFonts w:hint="default"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color w:val="000000" w:themeColor="text1"/>
          <w:sz w:val="32"/>
          <w:szCs w:val="32"/>
          <w:highlight w:val="none"/>
          <w:u w:val="none"/>
          <w:lang w:val="zh-CN"/>
          <w14:textFill>
            <w14:solidFill>
              <w14:schemeClr w14:val="tx1"/>
            </w14:solidFill>
          </w14:textFill>
        </w:rPr>
        <w:t>（二）预设问题及评价重点。</w:t>
      </w:r>
    </w:p>
    <w:p>
      <w:pPr>
        <w:adjustRightInd w:val="0"/>
        <w:snapToGrid w:val="0"/>
        <w:spacing w:line="560" w:lineRule="exact"/>
        <w:ind w:firstLine="640" w:firstLineChars="200"/>
        <w:rPr>
          <w:rFonts w:hint="eastAsia" w:ascii="楷体_GB2312" w:hAnsi="楷体_GB2312" w:eastAsia="楷体_GB2312" w:cs="楷体_GB2312"/>
          <w:b/>
          <w:color w:val="FF0000"/>
          <w:sz w:val="32"/>
          <w:szCs w:val="32"/>
          <w:highlight w:val="none"/>
          <w:u w:val="none"/>
          <w:lang w:val="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项目资金分配使用符合相关文件要求，项目进度按照实施方案有序开展。</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2" w:firstLineChars="200"/>
        <w:jc w:val="both"/>
        <w:textAlignment w:val="auto"/>
        <w:outlineLvl w:val="9"/>
        <w:rPr>
          <w:rFonts w:hint="eastAsia" w:ascii="楷体_GB2312" w:hAnsi="楷体_GB2312" w:eastAsia="楷体_GB2312" w:cs="楷体_GB2312"/>
          <w:b/>
          <w:color w:val="000000" w:themeColor="text1"/>
          <w:sz w:val="32"/>
          <w:szCs w:val="32"/>
          <w:highlight w:val="none"/>
          <w:u w:val="none"/>
          <w:lang w:val="zh-CN" w:eastAsia="zh-CN"/>
          <w14:textFill>
            <w14:solidFill>
              <w14:schemeClr w14:val="tx1"/>
            </w14:solidFill>
          </w14:textFill>
        </w:rPr>
      </w:pPr>
      <w:r>
        <w:rPr>
          <w:rFonts w:hint="eastAsia" w:ascii="楷体_GB2312" w:hAnsi="楷体_GB2312" w:eastAsia="楷体_GB2312" w:cs="楷体_GB2312"/>
          <w:b/>
          <w:color w:val="000000" w:themeColor="text1"/>
          <w:sz w:val="32"/>
          <w:szCs w:val="32"/>
          <w:highlight w:val="none"/>
          <w:u w:val="none"/>
          <w:lang w:val="zh-CN"/>
          <w14:textFill>
            <w14:solidFill>
              <w14:schemeClr w14:val="tx1"/>
            </w14:solidFill>
          </w14:textFill>
        </w:rPr>
        <w:t>（三）评价选点。</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仿宋_GB2312" w:cs="楷体_GB2312"/>
          <w:b/>
          <w:color w:val="FF0000"/>
          <w:sz w:val="32"/>
          <w:szCs w:val="32"/>
          <w:highlight w:val="none"/>
          <w:u w:val="none"/>
          <w:lang w:val="zh-CN" w:eastAsia="zh-CN"/>
        </w:rPr>
      </w:pPr>
      <w:r>
        <w:rPr>
          <w:rFonts w:hint="eastAsia" w:ascii="仿宋_GB2312" w:hAnsi="仿宋_GB2312" w:eastAsia="仿宋_GB2312" w:cs="仿宋_GB2312"/>
          <w:b w:val="0"/>
          <w:bCs w:val="0"/>
          <w:snapToGrid w:val="0"/>
          <w:color w:val="000000"/>
          <w:kern w:val="0"/>
          <w:sz w:val="32"/>
          <w:szCs w:val="32"/>
          <w:lang w:eastAsia="zh-CN"/>
        </w:rPr>
        <w:t>涉及</w:t>
      </w:r>
      <w:r>
        <w:rPr>
          <w:rFonts w:hint="eastAsia" w:ascii="仿宋_GB2312" w:hAnsi="仿宋_GB2312" w:eastAsia="仿宋_GB2312" w:cs="仿宋_GB2312"/>
          <w:b w:val="0"/>
          <w:bCs w:val="0"/>
          <w:snapToGrid w:val="0"/>
          <w:color w:val="000000"/>
          <w:kern w:val="0"/>
          <w:sz w:val="32"/>
          <w:szCs w:val="32"/>
        </w:rPr>
        <w:t>广元经济技术开发区盘龙镇</w:t>
      </w:r>
      <w:r>
        <w:rPr>
          <w:rFonts w:hint="eastAsia" w:ascii="仿宋_GB2312" w:hAnsi="仿宋_GB2312" w:eastAsia="仿宋_GB2312" w:cs="仿宋_GB2312"/>
          <w:b w:val="0"/>
          <w:bCs w:val="0"/>
          <w:snapToGrid w:val="0"/>
          <w:color w:val="000000"/>
          <w:kern w:val="0"/>
          <w:sz w:val="32"/>
          <w:szCs w:val="32"/>
          <w:lang w:val="en-US" w:eastAsia="zh-CN"/>
        </w:rPr>
        <w:t>928人</w:t>
      </w:r>
      <w:bookmarkStart w:id="3" w:name="OLE_LINK4"/>
      <w:r>
        <w:rPr>
          <w:rFonts w:hint="eastAsia" w:ascii="仿宋_GB2312" w:hAnsi="仿宋_GB2312" w:eastAsia="仿宋_GB2312" w:cs="仿宋_GB2312"/>
          <w:b w:val="0"/>
          <w:bCs w:val="0"/>
          <w:snapToGrid w:val="0"/>
          <w:color w:val="000000"/>
          <w:kern w:val="0"/>
          <w:sz w:val="32"/>
          <w:szCs w:val="32"/>
          <w:lang w:val="en-US" w:eastAsia="zh-CN"/>
        </w:rPr>
        <w:t>计划生育特殊家庭</w:t>
      </w:r>
      <w:bookmarkEnd w:id="3"/>
      <w:r>
        <w:rPr>
          <w:rFonts w:hint="eastAsia" w:ascii="仿宋_GB2312" w:hAnsi="仿宋_GB2312" w:eastAsia="仿宋_GB2312" w:cs="仿宋_GB2312"/>
          <w:b w:val="0"/>
          <w:bCs w:val="0"/>
          <w:snapToGrid w:val="0"/>
          <w:color w:val="000000"/>
          <w:kern w:val="0"/>
          <w:sz w:val="32"/>
          <w:szCs w:val="32"/>
          <w:lang w:val="en-US" w:eastAsia="zh-CN"/>
        </w:rPr>
        <w:t>四类对象中特别困难的23户</w:t>
      </w:r>
      <w:r>
        <w:rPr>
          <w:rFonts w:hint="eastAsia" w:ascii="仿宋_GB2312" w:hAnsi="仿宋_GB2312" w:eastAsia="仿宋_GB2312" w:cs="仿宋_GB2312"/>
          <w:b w:val="0"/>
          <w:bCs w:val="0"/>
          <w:snapToGrid w:val="0"/>
          <w:color w:val="000000"/>
          <w:kern w:val="0"/>
          <w:sz w:val="32"/>
          <w:szCs w:val="32"/>
          <w:lang w:eastAsia="zh-CN"/>
        </w:rPr>
        <w:t>计划生育特殊家</w:t>
      </w:r>
      <w:r>
        <w:rPr>
          <w:rFonts w:hint="eastAsia" w:ascii="仿宋_GB2312" w:hAnsi="仿宋_GB2312" w:eastAsia="仿宋_GB2312" w:cs="仿宋_GB2312"/>
          <w:b w:val="0"/>
          <w:bCs w:val="0"/>
          <w:snapToGrid w:val="0"/>
          <w:color w:val="000000"/>
          <w:kern w:val="0"/>
          <w:sz w:val="32"/>
          <w:szCs w:val="32"/>
        </w:rPr>
        <w:t>庭</w:t>
      </w:r>
      <w:r>
        <w:rPr>
          <w:rFonts w:hint="eastAsia" w:ascii="仿宋_GB2312" w:hAnsi="仿宋_GB2312" w:eastAsia="仿宋_GB2312" w:cs="仿宋_GB2312"/>
          <w:b w:val="0"/>
          <w:bCs w:val="0"/>
          <w:snapToGrid w:val="0"/>
          <w:color w:val="000000"/>
          <w:kern w:val="0"/>
          <w:sz w:val="32"/>
          <w:szCs w:val="32"/>
          <w:lang w:eastAsia="zh-CN"/>
        </w:rPr>
        <w:t>。</w:t>
      </w:r>
    </w:p>
    <w:p>
      <w:pPr>
        <w:keepNext w:val="0"/>
        <w:keepLines w:val="0"/>
        <w:pageBreakBefore w:val="0"/>
        <w:widowControl w:val="0"/>
        <w:numPr>
          <w:ilvl w:val="0"/>
          <w:numId w:val="1"/>
        </w:numPr>
        <w:kinsoku/>
        <w:wordWrap/>
        <w:overflowPunct w:val="0"/>
        <w:topLinePunct w:val="0"/>
        <w:autoSpaceDE/>
        <w:autoSpaceDN/>
        <w:bidi w:val="0"/>
        <w:adjustRightInd w:val="0"/>
        <w:snapToGrid w:val="0"/>
        <w:spacing w:line="576" w:lineRule="exact"/>
        <w:ind w:left="0" w:leftChars="0" w:firstLine="642" w:firstLineChars="200"/>
        <w:jc w:val="both"/>
        <w:textAlignment w:val="auto"/>
        <w:outlineLvl w:val="9"/>
        <w:rPr>
          <w:rFonts w:hint="eastAsia" w:ascii="楷体_GB2312" w:hAnsi="楷体_GB2312" w:eastAsia="楷体_GB2312" w:cs="楷体_GB2312"/>
          <w:b/>
          <w:color w:val="auto"/>
          <w:sz w:val="32"/>
          <w:szCs w:val="32"/>
          <w:highlight w:val="none"/>
          <w:u w:val="none"/>
          <w:lang w:val="zh-CN"/>
        </w:rPr>
      </w:pPr>
      <w:r>
        <w:rPr>
          <w:rFonts w:hint="eastAsia" w:ascii="楷体_GB2312" w:hAnsi="楷体_GB2312" w:eastAsia="楷体_GB2312" w:cs="楷体_GB2312"/>
          <w:b/>
          <w:color w:val="auto"/>
          <w:sz w:val="32"/>
          <w:szCs w:val="32"/>
          <w:highlight w:val="none"/>
          <w:u w:val="none"/>
          <w:lang w:val="zh-CN"/>
        </w:rPr>
        <w:t>评价方法。</w:t>
      </w:r>
    </w:p>
    <w:p>
      <w:pPr>
        <w:pStyle w:val="9"/>
        <w:numPr>
          <w:ilvl w:val="0"/>
          <w:numId w:val="0"/>
        </w:numPr>
        <w:ind w:leftChars="200" w:firstLine="640" w:firstLineChars="200"/>
        <w:rPr>
          <w:rFonts w:hint="eastAsia" w:ascii="仿宋_GB2312" w:hAnsi="仿宋_GB2312" w:eastAsia="仿宋_GB2312" w:cs="仿宋_GB2312"/>
          <w:b w:val="0"/>
          <w:bCs w:val="0"/>
          <w:snapToGrid w:val="0"/>
          <w:color w:val="000000"/>
          <w:kern w:val="0"/>
          <w:sz w:val="32"/>
          <w:szCs w:val="32"/>
          <w:lang w:val="zh-CN" w:eastAsia="zh-CN" w:bidi="ar-SA"/>
        </w:rPr>
      </w:pPr>
      <w:bookmarkStart w:id="4" w:name="OLE_LINK5"/>
      <w:r>
        <w:rPr>
          <w:rFonts w:hint="eastAsia" w:ascii="仿宋_GB2312" w:hAnsi="仿宋_GB2312" w:eastAsia="仿宋_GB2312" w:cs="仿宋_GB2312"/>
          <w:b w:val="0"/>
          <w:bCs w:val="0"/>
          <w:snapToGrid w:val="0"/>
          <w:color w:val="000000"/>
          <w:kern w:val="0"/>
          <w:sz w:val="32"/>
          <w:szCs w:val="32"/>
          <w:lang w:val="zh-CN" w:eastAsia="zh-CN" w:bidi="ar-SA"/>
        </w:rPr>
        <w:t>主要采用单位自评法。</w:t>
      </w:r>
      <w:bookmarkEnd w:id="4"/>
    </w:p>
    <w:p>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2" w:firstLineChars="200"/>
        <w:jc w:val="both"/>
        <w:textAlignment w:val="auto"/>
        <w:outlineLvl w:val="9"/>
        <w:rPr>
          <w:rFonts w:hint="eastAsia" w:ascii="仿宋_GB2312" w:hAnsi="仿宋_GB2312" w:eastAsia="仿宋_GB2312" w:cs="仿宋_GB2312"/>
          <w:b w:val="0"/>
          <w:bCs w:val="0"/>
          <w:color w:val="auto"/>
          <w:kern w:val="0"/>
          <w:sz w:val="32"/>
          <w:szCs w:val="32"/>
          <w:lang w:val="zh-CN" w:eastAsia="zh-CN" w:bidi="ar-SA"/>
        </w:rPr>
      </w:pPr>
      <w:r>
        <w:rPr>
          <w:rFonts w:hint="eastAsia" w:ascii="楷体_GB2312" w:hAnsi="楷体_GB2312" w:eastAsia="楷体_GB2312" w:cs="楷体_GB2312"/>
          <w:b/>
          <w:color w:val="auto"/>
          <w:kern w:val="2"/>
          <w:sz w:val="32"/>
          <w:szCs w:val="32"/>
          <w:lang w:val="zh-CN" w:eastAsia="zh-CN" w:bidi="ar-SA"/>
        </w:rPr>
        <w:t>（五）</w:t>
      </w:r>
      <w:r>
        <w:rPr>
          <w:rFonts w:hint="eastAsia" w:ascii="楷体_GB2312" w:hAnsi="楷体_GB2312" w:eastAsia="楷体_GB2312" w:cs="楷体_GB2312"/>
          <w:b/>
          <w:color w:val="auto"/>
          <w:sz w:val="32"/>
          <w:szCs w:val="32"/>
          <w:highlight w:val="none"/>
          <w:u w:val="none"/>
          <w:lang w:val="zh-CN"/>
        </w:rPr>
        <w:t>评价组织。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snapToGrid w:val="0"/>
          <w:color w:val="000000"/>
          <w:kern w:val="0"/>
          <w:sz w:val="32"/>
          <w:szCs w:val="32"/>
          <w:lang w:val="en-US" w:eastAsia="zh-CN" w:bidi="ar-SA"/>
        </w:rPr>
      </w:pPr>
      <w:r>
        <w:rPr>
          <w:rFonts w:hint="eastAsia" w:ascii="仿宋_GB2312" w:hAnsi="仿宋_GB2312" w:eastAsia="仿宋_GB2312" w:cs="仿宋_GB2312"/>
          <w:b w:val="0"/>
          <w:bCs w:val="0"/>
          <w:snapToGrid w:val="0"/>
          <w:color w:val="000000"/>
          <w:kern w:val="0"/>
          <w:sz w:val="32"/>
          <w:szCs w:val="32"/>
          <w:lang w:val="en-US" w:eastAsia="zh-CN" w:bidi="ar-SA"/>
        </w:rPr>
        <w:t>1.成立绩效评价工作小组，分管领导任绩效评价工作组长，相关科室为绩效评价工作小组成员，负责绩效评价工作日常调度及运转。</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snapToGrid w:val="0"/>
          <w:color w:val="000000"/>
          <w:kern w:val="0"/>
          <w:sz w:val="32"/>
          <w:szCs w:val="32"/>
          <w:lang w:val="en-US" w:eastAsia="zh-CN" w:bidi="ar-SA"/>
        </w:rPr>
      </w:pPr>
      <w:r>
        <w:rPr>
          <w:rFonts w:hint="eastAsia" w:ascii="仿宋_GB2312" w:hAnsi="仿宋_GB2312" w:eastAsia="仿宋_GB2312" w:cs="仿宋_GB2312"/>
          <w:b w:val="0"/>
          <w:bCs w:val="0"/>
          <w:snapToGrid w:val="0"/>
          <w:color w:val="000000"/>
          <w:kern w:val="0"/>
          <w:sz w:val="32"/>
          <w:szCs w:val="32"/>
          <w:lang w:val="en-US" w:eastAsia="zh-CN" w:bidi="ar-SA"/>
        </w:rPr>
        <w:t>2.工作职责</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snapToGrid w:val="0"/>
          <w:color w:val="000000"/>
          <w:kern w:val="0"/>
          <w:sz w:val="32"/>
          <w:szCs w:val="32"/>
          <w:lang w:val="zh-CN" w:eastAsia="zh-CN" w:bidi="ar-SA"/>
        </w:rPr>
      </w:pPr>
      <w:r>
        <w:rPr>
          <w:rFonts w:hint="eastAsia" w:ascii="仿宋_GB2312" w:hAnsi="仿宋_GB2312" w:eastAsia="仿宋_GB2312" w:cs="仿宋_GB2312"/>
          <w:b w:val="0"/>
          <w:bCs w:val="0"/>
          <w:snapToGrid w:val="0"/>
          <w:color w:val="000000"/>
          <w:kern w:val="0"/>
          <w:sz w:val="32"/>
          <w:szCs w:val="32"/>
          <w:lang w:val="en-US" w:eastAsia="zh-CN" w:bidi="ar-SA"/>
        </w:rPr>
        <w:t>工作小组统筹推进项目建设等工作，研究协调解决工作推进中出现的困难和问题，各司其职，查漏补缺，扎实有序推进各项工作。</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cs="Times New Roman"/>
          <w:b w:val="0"/>
          <w:bCs w:val="0"/>
          <w:color w:val="auto"/>
          <w:sz w:val="32"/>
          <w:szCs w:val="32"/>
          <w:highlight w:val="none"/>
          <w:u w:val="none"/>
          <w:lang w:val="zh-CN"/>
        </w:rPr>
      </w:pPr>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r>
        <w:rPr>
          <w:rFonts w:hint="default" w:ascii="Times New Roman" w:hAnsi="Times New Roman" w:cs="Times New Roman"/>
          <w:b w:val="0"/>
          <w:bCs w:val="0"/>
          <w:color w:val="auto"/>
          <w:sz w:val="32"/>
          <w:szCs w:val="32"/>
          <w:highlight w:val="none"/>
          <w:u w:val="none"/>
          <w:lang w:val="zh-CN"/>
        </w:rPr>
        <w:tab/>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default" w:ascii="仿宋_GB2312" w:hAnsi="仿宋_GB2312" w:eastAsia="仿宋_GB2312" w:cs="仿宋_GB2312"/>
          <w:b w:val="0"/>
          <w:bCs w:val="0"/>
          <w:color w:val="FF0000"/>
          <w:kern w:val="0"/>
          <w:sz w:val="32"/>
          <w:szCs w:val="32"/>
          <w:lang w:val="en-US" w:eastAsia="zh-CN" w:bidi="ar-SA"/>
        </w:rPr>
      </w:pPr>
      <w:r>
        <w:rPr>
          <w:rFonts w:hint="default" w:ascii="仿宋_GB2312" w:hAnsi="仿宋_GB2312" w:eastAsia="仿宋_GB2312" w:cs="仿宋_GB2312"/>
          <w:b w:val="0"/>
          <w:bCs w:val="0"/>
          <w:color w:val="auto"/>
          <w:kern w:val="0"/>
          <w:sz w:val="32"/>
          <w:szCs w:val="32"/>
          <w:lang w:val="zh-CN" w:bidi="ar-SA"/>
        </w:rPr>
        <w:t>（一）</w:t>
      </w:r>
      <w:r>
        <w:rPr>
          <w:rFonts w:hint="default" w:ascii="仿宋_GB2312" w:hAnsi="仿宋_GB2312" w:eastAsia="仿宋_GB2312" w:cs="仿宋_GB2312"/>
          <w:b w:val="0"/>
          <w:bCs w:val="0"/>
          <w:color w:val="auto"/>
          <w:kern w:val="0"/>
          <w:sz w:val="32"/>
          <w:szCs w:val="32"/>
          <w:lang w:val="en-US" w:eastAsia="zh-CN" w:bidi="ar-SA"/>
        </w:rPr>
        <w:t>通用指标</w:t>
      </w:r>
      <w:r>
        <w:rPr>
          <w:rFonts w:hint="default" w:ascii="仿宋_GB2312" w:hAnsi="仿宋_GB2312" w:eastAsia="仿宋_GB2312" w:cs="仿宋_GB2312"/>
          <w:b w:val="0"/>
          <w:bCs w:val="0"/>
          <w:color w:val="auto"/>
          <w:kern w:val="0"/>
          <w:sz w:val="32"/>
          <w:szCs w:val="32"/>
          <w:lang w:val="zh-CN" w:bidi="ar-SA"/>
        </w:rPr>
        <w:t>绩效分析。</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lang w:eastAsia="zh-CN" w:bidi="ar-SA"/>
        </w:rPr>
      </w:pPr>
      <w:r>
        <w:rPr>
          <w:rFonts w:hint="eastAsia" w:ascii="仿宋_GB2312" w:hAnsi="仿宋_GB2312" w:eastAsia="仿宋_GB2312" w:cs="仿宋_GB2312"/>
          <w:b w:val="0"/>
          <w:bCs w:val="0"/>
          <w:color w:val="auto"/>
          <w:kern w:val="0"/>
          <w:sz w:val="32"/>
          <w:szCs w:val="32"/>
          <w:lang w:val="en-US" w:eastAsia="zh-CN" w:bidi="ar-SA"/>
        </w:rPr>
        <w:t>1.</w:t>
      </w:r>
      <w:r>
        <w:rPr>
          <w:rFonts w:hint="eastAsia" w:ascii="仿宋_GB2312" w:hAnsi="仿宋_GB2312" w:eastAsia="仿宋_GB2312" w:cs="仿宋_GB2312"/>
          <w:b w:val="0"/>
          <w:bCs w:val="0"/>
          <w:color w:val="auto"/>
          <w:kern w:val="0"/>
          <w:sz w:val="32"/>
          <w:szCs w:val="32"/>
          <w:lang w:eastAsia="zh-CN" w:bidi="ar-SA"/>
        </w:rPr>
        <w:t>项目决策。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snapToGrid w:val="0"/>
          <w:color w:val="000000"/>
          <w:kern w:val="0"/>
          <w:sz w:val="32"/>
          <w:szCs w:val="32"/>
          <w:lang w:val="en-US" w:eastAsia="zh-CN" w:bidi="ar-SA"/>
        </w:rPr>
      </w:pPr>
      <w:bookmarkStart w:id="5" w:name="OLE_LINK7"/>
      <w:r>
        <w:rPr>
          <w:rFonts w:hint="eastAsia" w:ascii="仿宋_GB2312" w:hAnsi="仿宋_GB2312" w:eastAsia="仿宋_GB2312" w:cs="仿宋_GB2312"/>
          <w:b w:val="0"/>
          <w:bCs w:val="0"/>
          <w:snapToGrid w:val="0"/>
          <w:color w:val="000000"/>
          <w:kern w:val="0"/>
          <w:sz w:val="32"/>
          <w:szCs w:val="32"/>
          <w:lang w:val="en-US" w:eastAsia="zh-CN" w:bidi="ar-SA"/>
        </w:rPr>
        <w:t>资金使用</w:t>
      </w:r>
      <w:r>
        <w:rPr>
          <w:rFonts w:hint="eastAsia" w:ascii="仿宋_GB2312" w:hAnsi="仿宋_GB2312" w:eastAsia="仿宋_GB2312" w:cs="仿宋_GB2312"/>
          <w:b w:val="0"/>
          <w:bCs w:val="0"/>
          <w:snapToGrid w:val="0"/>
          <w:color w:val="000000"/>
          <w:kern w:val="0"/>
          <w:sz w:val="32"/>
          <w:szCs w:val="32"/>
          <w:lang w:val="zh-CN" w:eastAsia="zh-CN" w:bidi="ar-SA"/>
        </w:rPr>
        <w:t>项目设立、调整延续等方面符合资金管理基本规范和决策程序</w:t>
      </w:r>
      <w:r>
        <w:rPr>
          <w:rFonts w:hint="eastAsia" w:ascii="仿宋_GB2312" w:hAnsi="仿宋_GB2312" w:eastAsia="仿宋_GB2312" w:cs="仿宋_GB2312"/>
          <w:b w:val="0"/>
          <w:bCs w:val="0"/>
          <w:snapToGrid w:val="0"/>
          <w:color w:val="000000"/>
          <w:kern w:val="0"/>
          <w:sz w:val="32"/>
          <w:szCs w:val="32"/>
          <w:lang w:val="en-US" w:eastAsia="zh-CN" w:bidi="ar-SA"/>
        </w:rPr>
        <w:t>要求，得6分；项目规划论证符合中省要求，项目绩效目标设置科学合理，得6分；项目资金使用按照相关文件要求进行规划，与卫生事业发展相匹配，得6分。共计18分。</w:t>
      </w:r>
      <w:bookmarkEnd w:id="5"/>
    </w:p>
    <w:p>
      <w:pPr>
        <w:keepNext w:val="0"/>
        <w:keepLines w:val="0"/>
        <w:pageBreakBefore w:val="0"/>
        <w:widowControl w:val="0"/>
        <w:numPr>
          <w:numId w:val="0"/>
        </w:numPr>
        <w:kinsoku/>
        <w:wordWrap/>
        <w:overflowPunct w:val="0"/>
        <w:topLinePunct w:val="0"/>
        <w:autoSpaceDE/>
        <w:autoSpaceDN/>
        <w:bidi w:val="0"/>
        <w:adjustRightInd w:val="0"/>
        <w:snapToGrid w:val="0"/>
        <w:spacing w:line="576" w:lineRule="exact"/>
        <w:ind w:leftChars="200" w:firstLine="320" w:firstLineChars="100"/>
        <w:jc w:val="both"/>
        <w:textAlignment w:val="auto"/>
        <w:outlineLvl w:val="9"/>
        <w:rPr>
          <w:rFonts w:hint="eastAsia" w:ascii="仿宋_GB2312" w:hAnsi="仿宋_GB2312" w:eastAsia="仿宋_GB2312" w:cs="仿宋_GB2312"/>
          <w:b w:val="0"/>
          <w:bCs w:val="0"/>
          <w:color w:val="auto"/>
          <w:kern w:val="0"/>
          <w:sz w:val="32"/>
          <w:szCs w:val="32"/>
          <w:lang w:eastAsia="zh-CN" w:bidi="ar-SA"/>
        </w:rPr>
      </w:pPr>
      <w:r>
        <w:rPr>
          <w:rFonts w:hint="eastAsia" w:ascii="仿宋_GB2312" w:hAnsi="仿宋_GB2312" w:eastAsia="仿宋_GB2312" w:cs="仿宋_GB2312"/>
          <w:b w:val="0"/>
          <w:bCs w:val="0"/>
          <w:color w:val="auto"/>
          <w:kern w:val="0"/>
          <w:sz w:val="32"/>
          <w:szCs w:val="32"/>
          <w:lang w:val="en-US" w:eastAsia="zh-CN" w:bidi="ar-SA"/>
        </w:rPr>
        <w:t>2.</w:t>
      </w:r>
      <w:r>
        <w:rPr>
          <w:rFonts w:hint="eastAsia" w:ascii="仿宋_GB2312" w:hAnsi="仿宋_GB2312" w:eastAsia="仿宋_GB2312" w:cs="仿宋_GB2312"/>
          <w:b w:val="0"/>
          <w:bCs w:val="0"/>
          <w:color w:val="auto"/>
          <w:kern w:val="0"/>
          <w:sz w:val="32"/>
          <w:szCs w:val="32"/>
          <w:lang w:eastAsia="zh-CN" w:bidi="ar-SA"/>
        </w:rPr>
        <w:t>项目管理。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eastAsia="仿宋_GB2312" w:cs="仿宋_GB2312"/>
          <w:b w:val="0"/>
          <w:bCs w:val="0"/>
          <w:color w:val="FF0000"/>
          <w:kern w:val="0"/>
          <w:sz w:val="32"/>
          <w:szCs w:val="32"/>
          <w:lang w:val="en-US" w:eastAsia="zh-CN" w:bidi="ar-SA"/>
        </w:rPr>
      </w:pPr>
      <w:r>
        <w:rPr>
          <w:rFonts w:hint="eastAsia" w:ascii="仿宋_GB2312" w:hAnsi="仿宋_GB2312" w:eastAsia="仿宋_GB2312" w:cs="仿宋_GB2312"/>
          <w:b w:val="0"/>
          <w:bCs w:val="0"/>
          <w:snapToGrid w:val="0"/>
          <w:color w:val="000000"/>
          <w:kern w:val="0"/>
          <w:sz w:val="32"/>
          <w:szCs w:val="32"/>
          <w:lang w:val="en-US" w:eastAsia="zh-CN" w:bidi="ar-SA"/>
        </w:rPr>
        <w:t>项目</w:t>
      </w:r>
      <w:r>
        <w:rPr>
          <w:rFonts w:hint="default" w:ascii="仿宋_GB2312" w:hAnsi="仿宋_GB2312" w:eastAsia="仿宋_GB2312" w:cs="仿宋_GB2312"/>
          <w:b w:val="0"/>
          <w:bCs w:val="0"/>
          <w:snapToGrid w:val="0"/>
          <w:color w:val="000000"/>
          <w:kern w:val="0"/>
          <w:sz w:val="32"/>
          <w:szCs w:val="32"/>
          <w:lang w:val="en-US" w:eastAsia="zh-CN" w:bidi="ar-SA"/>
        </w:rPr>
        <w:t>资金管理办法等管理制度体系健全完善，不存在管理制度缺失、管理办法过期情况，得</w:t>
      </w:r>
      <w:r>
        <w:rPr>
          <w:rFonts w:hint="eastAsia" w:ascii="仿宋_GB2312" w:hAnsi="仿宋_GB2312" w:eastAsia="仿宋_GB2312" w:cs="仿宋_GB2312"/>
          <w:b w:val="0"/>
          <w:bCs w:val="0"/>
          <w:snapToGrid w:val="0"/>
          <w:color w:val="000000"/>
          <w:kern w:val="0"/>
          <w:sz w:val="32"/>
          <w:szCs w:val="32"/>
          <w:lang w:val="en-US" w:eastAsia="zh-CN" w:bidi="ar-SA"/>
        </w:rPr>
        <w:t>8</w:t>
      </w:r>
      <w:r>
        <w:rPr>
          <w:rFonts w:hint="default" w:ascii="仿宋_GB2312" w:hAnsi="仿宋_GB2312" w:eastAsia="仿宋_GB2312" w:cs="仿宋_GB2312"/>
          <w:b w:val="0"/>
          <w:bCs w:val="0"/>
          <w:snapToGrid w:val="0"/>
          <w:color w:val="000000"/>
          <w:kern w:val="0"/>
          <w:sz w:val="32"/>
          <w:szCs w:val="32"/>
          <w:lang w:val="en-US" w:eastAsia="zh-CN" w:bidi="ar-SA"/>
        </w:rPr>
        <w:t>分。</w:t>
      </w:r>
      <w:r>
        <w:rPr>
          <w:rFonts w:hint="eastAsia" w:ascii="仿宋_GB2312" w:hAnsi="仿宋_GB2312" w:eastAsia="仿宋_GB2312" w:cs="仿宋_GB2312"/>
          <w:b w:val="0"/>
          <w:bCs w:val="0"/>
          <w:snapToGrid w:val="0"/>
          <w:color w:val="000000"/>
          <w:kern w:val="0"/>
          <w:sz w:val="32"/>
          <w:szCs w:val="32"/>
          <w:lang w:val="en-US" w:eastAsia="zh-CN" w:bidi="ar-SA"/>
        </w:rPr>
        <w:t>项目资金使用分配合理，充分考虑相关行业事业发展实际和发展需要，得5分。资金分配因素的权重设置有效突出项目实施重点，得5分。共计18分。</w:t>
      </w:r>
    </w:p>
    <w:p>
      <w:pPr>
        <w:keepNext w:val="0"/>
        <w:keepLines w:val="0"/>
        <w:pageBreakBefore w:val="0"/>
        <w:widowControl w:val="0"/>
        <w:numPr>
          <w:numId w:val="0"/>
        </w:numPr>
        <w:kinsoku/>
        <w:wordWrap/>
        <w:overflowPunct w:val="0"/>
        <w:topLinePunct w:val="0"/>
        <w:autoSpaceDE/>
        <w:autoSpaceDN/>
        <w:bidi w:val="0"/>
        <w:adjustRightInd w:val="0"/>
        <w:snapToGrid w:val="0"/>
        <w:spacing w:line="576" w:lineRule="exact"/>
        <w:ind w:leftChars="200" w:firstLine="320" w:firstLineChars="100"/>
        <w:jc w:val="both"/>
        <w:textAlignment w:val="auto"/>
        <w:outlineLvl w:val="9"/>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3.项目实施。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eastAsia"/>
          <w:lang w:eastAsia="zh-CN"/>
        </w:rPr>
      </w:pPr>
      <w:r>
        <w:rPr>
          <w:rFonts w:hint="eastAsia" w:ascii="仿宋_GB2312" w:hAnsi="仿宋_GB2312" w:eastAsia="仿宋_GB2312" w:cs="仿宋_GB2312"/>
          <w:b w:val="0"/>
          <w:bCs w:val="0"/>
          <w:snapToGrid w:val="0"/>
          <w:color w:val="000000"/>
          <w:kern w:val="0"/>
          <w:sz w:val="32"/>
          <w:szCs w:val="32"/>
          <w:lang w:val="en-US" w:eastAsia="zh-CN" w:bidi="ar-SA"/>
        </w:rPr>
        <w:t>项目资金1.15万元均已拨付到位，财政资金拨付率100%，预算执行情况良好，得6分。项目使用按照相关文件要求有序开展，资金使用拨付、项目实施是否符合规定，得3分。共计9分。</w:t>
      </w:r>
    </w:p>
    <w:p>
      <w:pPr>
        <w:keepNext w:val="0"/>
        <w:keepLines w:val="0"/>
        <w:pageBreakBefore w:val="0"/>
        <w:widowControl w:val="0"/>
        <w:numPr>
          <w:numId w:val="0"/>
        </w:numPr>
        <w:kinsoku/>
        <w:wordWrap/>
        <w:overflowPunct w:val="0"/>
        <w:topLinePunct w:val="0"/>
        <w:autoSpaceDE/>
        <w:autoSpaceDN/>
        <w:bidi w:val="0"/>
        <w:adjustRightInd w:val="0"/>
        <w:snapToGrid w:val="0"/>
        <w:spacing w:line="576" w:lineRule="exact"/>
        <w:ind w:leftChars="200"/>
        <w:jc w:val="both"/>
        <w:textAlignment w:val="auto"/>
        <w:outlineLvl w:val="9"/>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4.</w:t>
      </w:r>
      <w:bookmarkStart w:id="7" w:name="_GoBack"/>
      <w:bookmarkEnd w:id="7"/>
      <w:r>
        <w:rPr>
          <w:rFonts w:hint="eastAsia" w:ascii="仿宋_GB2312" w:hAnsi="仿宋_GB2312" w:eastAsia="仿宋_GB2312" w:cs="仿宋_GB2312"/>
          <w:b w:val="0"/>
          <w:bCs w:val="0"/>
          <w:color w:val="auto"/>
          <w:kern w:val="0"/>
          <w:sz w:val="32"/>
          <w:szCs w:val="32"/>
          <w:lang w:val="en-US" w:eastAsia="zh-CN" w:bidi="ar-SA"/>
        </w:rPr>
        <w:t>项目结果。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default"/>
          <w:lang w:eastAsia="zh-CN"/>
        </w:rPr>
      </w:pPr>
      <w:r>
        <w:rPr>
          <w:rFonts w:hint="eastAsia" w:ascii="仿宋_GB2312" w:hAnsi="仿宋_GB2312" w:eastAsia="仿宋_GB2312" w:cs="仿宋_GB2312"/>
          <w:b w:val="0"/>
          <w:bCs w:val="0"/>
          <w:snapToGrid w:val="0"/>
          <w:color w:val="000000"/>
          <w:kern w:val="0"/>
          <w:sz w:val="32"/>
          <w:szCs w:val="32"/>
          <w:lang w:val="en-US" w:eastAsia="zh-CN" w:bidi="ar-SA"/>
        </w:rPr>
        <w:t>项目完成实施方案预期目标，实施结果与绩效目标相匹配，得6分。项目实际推动进度与项目方案计划时间符合，得3分。共计9分。</w:t>
      </w:r>
    </w:p>
    <w:p>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lang w:val="en-US" w:eastAsia="zh-CN" w:bidi="ar-SA"/>
        </w:rPr>
      </w:pPr>
      <w:r>
        <w:rPr>
          <w:rFonts w:hint="default" w:ascii="仿宋_GB2312" w:hAnsi="仿宋_GB2312" w:eastAsia="仿宋_GB2312" w:cs="仿宋_GB2312"/>
          <w:b w:val="0"/>
          <w:bCs w:val="0"/>
          <w:color w:val="auto"/>
          <w:kern w:val="0"/>
          <w:sz w:val="32"/>
          <w:szCs w:val="32"/>
          <w:lang w:val="zh-CN" w:bidi="ar-SA"/>
        </w:rPr>
        <w:t>（二）</w:t>
      </w:r>
      <w:r>
        <w:rPr>
          <w:rFonts w:hint="default" w:ascii="仿宋_GB2312" w:hAnsi="仿宋_GB2312" w:eastAsia="仿宋_GB2312" w:cs="仿宋_GB2312"/>
          <w:b w:val="0"/>
          <w:bCs w:val="0"/>
          <w:color w:val="auto"/>
          <w:kern w:val="0"/>
          <w:sz w:val="32"/>
          <w:szCs w:val="32"/>
          <w:lang w:val="en-US" w:eastAsia="zh-CN" w:bidi="ar-SA"/>
        </w:rPr>
        <w:t>专用指标</w:t>
      </w:r>
      <w:r>
        <w:rPr>
          <w:rFonts w:hint="default" w:ascii="仿宋_GB2312" w:hAnsi="仿宋_GB2312" w:eastAsia="仿宋_GB2312" w:cs="仿宋_GB2312"/>
          <w:b w:val="0"/>
          <w:bCs w:val="0"/>
          <w:color w:val="auto"/>
          <w:kern w:val="0"/>
          <w:sz w:val="32"/>
          <w:szCs w:val="32"/>
          <w:lang w:val="zh-CN" w:bidi="ar-SA"/>
        </w:rPr>
        <w:t>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outlineLvl w:val="9"/>
        <w:rPr>
          <w:rFonts w:hint="default" w:ascii="仿宋_GB2312" w:hAnsi="仿宋_GB2312" w:eastAsia="仿宋_GB2312" w:cs="仿宋_GB2312"/>
          <w:b w:val="0"/>
          <w:bCs w:val="0"/>
          <w:snapToGrid w:val="0"/>
          <w:color w:val="000000"/>
          <w:kern w:val="0"/>
          <w:sz w:val="32"/>
          <w:szCs w:val="32"/>
          <w:u w:val="none"/>
          <w:lang w:val="en-US" w:eastAsia="zh-CN" w:bidi="ar-SA"/>
        </w:rPr>
      </w:pPr>
      <w:r>
        <w:rPr>
          <w:rFonts w:hint="eastAsia" w:ascii="仿宋_GB2312" w:hAnsi="仿宋_GB2312" w:eastAsia="仿宋_GB2312" w:cs="仿宋_GB2312"/>
          <w:b w:val="0"/>
          <w:bCs w:val="0"/>
          <w:snapToGrid w:val="0"/>
          <w:color w:val="000000"/>
          <w:kern w:val="0"/>
          <w:sz w:val="32"/>
          <w:szCs w:val="32"/>
          <w:u w:val="none"/>
          <w:lang w:val="en-US" w:eastAsia="zh-CN" w:bidi="ar-SA"/>
        </w:rPr>
        <w:t>资金按规定用途、适用范围进行本地区专项资金分配，得10分。资金管理程序符合专项资金管理要求，得10分。资金分配标准符合专项资金管理要求，得10分。共计30分。</w:t>
      </w:r>
    </w:p>
    <w:p>
      <w:pPr>
        <w:keepNext w:val="0"/>
        <w:keepLines w:val="0"/>
        <w:pageBreakBefore w:val="0"/>
        <w:widowControl w:val="0"/>
        <w:numPr>
          <w:numId w:val="0"/>
        </w:numPr>
        <w:kinsoku/>
        <w:wordWrap/>
        <w:overflowPunct w:val="0"/>
        <w:topLinePunct w:val="0"/>
        <w:autoSpaceDE/>
        <w:autoSpaceDN/>
        <w:bidi w:val="0"/>
        <w:adjustRightInd w:val="0"/>
        <w:snapToGrid w:val="0"/>
        <w:spacing w:line="576" w:lineRule="exact"/>
        <w:ind w:leftChars="200" w:firstLine="320" w:firstLineChars="100"/>
        <w:jc w:val="both"/>
        <w:textAlignment w:val="auto"/>
        <w:outlineLvl w:val="9"/>
        <w:rPr>
          <w:rFonts w:hint="default"/>
          <w:lang w:val="en-US" w:eastAsia="zh-CN"/>
        </w:rPr>
      </w:pPr>
      <w:r>
        <w:rPr>
          <w:rFonts w:hint="eastAsia" w:ascii="仿宋_GB2312" w:hAnsi="仿宋_GB2312" w:eastAsia="仿宋_GB2312" w:cs="仿宋_GB2312"/>
          <w:b w:val="0"/>
          <w:bCs w:val="0"/>
          <w:color w:val="auto"/>
          <w:kern w:val="0"/>
          <w:sz w:val="32"/>
          <w:szCs w:val="32"/>
          <w:lang w:val="en-US" w:eastAsia="zh-CN" w:bidi="ar-SA"/>
        </w:rPr>
        <w:t>（三）</w:t>
      </w:r>
      <w:r>
        <w:rPr>
          <w:rFonts w:hint="default" w:ascii="仿宋_GB2312" w:hAnsi="仿宋_GB2312" w:eastAsia="仿宋_GB2312" w:cs="仿宋_GB2312"/>
          <w:b w:val="0"/>
          <w:bCs w:val="0"/>
          <w:color w:val="auto"/>
          <w:kern w:val="0"/>
          <w:sz w:val="32"/>
          <w:szCs w:val="32"/>
          <w:lang w:val="en-US" w:eastAsia="zh-CN" w:bidi="ar-SA"/>
        </w:rPr>
        <w:t>个性指标</w:t>
      </w:r>
      <w:r>
        <w:rPr>
          <w:rFonts w:hint="default" w:ascii="仿宋_GB2312" w:hAnsi="仿宋_GB2312" w:eastAsia="仿宋_GB2312" w:cs="仿宋_GB2312"/>
          <w:b w:val="0"/>
          <w:bCs w:val="0"/>
          <w:color w:val="auto"/>
          <w:kern w:val="0"/>
          <w:sz w:val="32"/>
          <w:szCs w:val="32"/>
          <w:lang w:val="zh-CN" w:bidi="ar-SA"/>
        </w:rPr>
        <w:t>绩效分析。</w:t>
      </w:r>
    </w:p>
    <w:p>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200"/>
        <w:jc w:val="both"/>
        <w:textAlignment w:val="auto"/>
        <w:outlineLvl w:val="9"/>
        <w:rPr>
          <w:rFonts w:hint="default"/>
          <w:lang w:val="en-US" w:eastAsia="zh-CN"/>
        </w:rPr>
      </w:pPr>
      <w:r>
        <w:rPr>
          <w:rFonts w:hint="eastAsia" w:ascii="Times New Roman" w:hAnsi="Times New Roman" w:eastAsia="仿宋_GB2312" w:cs="Times New Roman"/>
          <w:b w:val="0"/>
          <w:color w:val="auto"/>
          <w:kern w:val="2"/>
          <w:position w:val="0"/>
          <w:sz w:val="32"/>
          <w:szCs w:val="32"/>
          <w:u w:val="none"/>
          <w:lang w:val="en-US" w:eastAsia="zh-CN" w:bidi="ar-SA"/>
        </w:rPr>
        <w:t xml:space="preserve"> 无</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rPr>
      </w:pPr>
      <w:r>
        <w:rPr>
          <w:rFonts w:hint="default" w:ascii="Times New Roman" w:hAnsi="Times New Roman" w:eastAsia="黑体" w:cs="Times New Roman"/>
          <w:b w:val="0"/>
          <w:bCs w:val="0"/>
          <w:color w:val="auto"/>
          <w:sz w:val="32"/>
          <w:szCs w:val="32"/>
          <w:highlight w:val="none"/>
          <w:u w:val="none"/>
          <w:lang w:eastAsia="zh-CN"/>
        </w:rPr>
        <w:t>四</w:t>
      </w:r>
      <w:r>
        <w:rPr>
          <w:rFonts w:hint="default" w:ascii="Times New Roman" w:hAnsi="Times New Roman" w:eastAsia="黑体" w:cs="Times New Roman"/>
          <w:b w:val="0"/>
          <w:bCs w:val="0"/>
          <w:color w:val="auto"/>
          <w:sz w:val="32"/>
          <w:szCs w:val="32"/>
          <w:highlight w:val="none"/>
          <w:u w:val="none"/>
        </w:rPr>
        <w:t>、评价结论</w:t>
      </w:r>
    </w:p>
    <w:p>
      <w:pPr>
        <w:pStyle w:val="4"/>
        <w:pageBreakBefore w:val="0"/>
        <w:numPr>
          <w:ilvl w:val="0"/>
          <w:numId w:val="0"/>
        </w:numPr>
        <w:tabs>
          <w:tab w:val="left" w:pos="2160"/>
        </w:tabs>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cs="Times New Roman"/>
          <w:b w:val="0"/>
          <w:bCs w:val="0"/>
          <w:color w:val="FF0000"/>
          <w:kern w:val="2"/>
          <w:position w:val="0"/>
          <w:sz w:val="32"/>
          <w:szCs w:val="32"/>
          <w:highlight w:val="none"/>
          <w:lang w:val="en-US" w:eastAsia="zh-CN" w:bidi="ar-SA"/>
        </w:rPr>
      </w:pPr>
      <w:r>
        <w:rPr>
          <w:rFonts w:hint="eastAsia" w:ascii="Times New Roman" w:hAnsi="Times New Roman" w:eastAsia="仿宋_GB2312" w:cs="Times New Roman"/>
          <w:color w:val="auto"/>
          <w:kern w:val="2"/>
          <w:position w:val="0"/>
          <w:sz w:val="32"/>
          <w:szCs w:val="32"/>
          <w:u w:val="none"/>
          <w:lang w:val="en-US" w:eastAsia="zh-CN" w:bidi="ar-SA"/>
        </w:rPr>
        <w:t>绩效自我评价总分为</w:t>
      </w:r>
      <w:r>
        <w:rPr>
          <w:rFonts w:hint="eastAsia" w:ascii="仿宋_GB2312" w:hAnsi="仿宋_GB2312" w:cs="仿宋_GB2312"/>
          <w:b w:val="0"/>
          <w:bCs/>
          <w:color w:val="auto"/>
          <w:spacing w:val="0"/>
          <w:kern w:val="0"/>
          <w:sz w:val="32"/>
          <w:szCs w:val="32"/>
          <w:u w:val="none"/>
          <w:lang w:val="en-US" w:eastAsia="zh-CN" w:bidi="ar-SA"/>
        </w:rPr>
        <w:t>84</w:t>
      </w:r>
      <w:r>
        <w:rPr>
          <w:rFonts w:hint="eastAsia" w:ascii="Times New Roman" w:hAnsi="Times New Roman" w:eastAsia="仿宋_GB2312" w:cs="Times New Roman"/>
          <w:color w:val="auto"/>
          <w:kern w:val="2"/>
          <w:position w:val="0"/>
          <w:sz w:val="32"/>
          <w:szCs w:val="32"/>
          <w:u w:val="none"/>
          <w:lang w:val="en-US" w:eastAsia="zh-CN" w:bidi="ar-SA"/>
        </w:rPr>
        <w:t>分，</w:t>
      </w:r>
      <w:r>
        <w:rPr>
          <w:rFonts w:hint="eastAsia" w:ascii="Times New Roman" w:hAnsi="Times New Roman" w:eastAsia="仿宋_GB2312" w:cs="Times New Roman"/>
          <w:color w:val="auto"/>
          <w:kern w:val="2"/>
          <w:position w:val="0"/>
          <w:sz w:val="32"/>
          <w:szCs w:val="32"/>
          <w:lang w:val="en-US" w:eastAsia="zh-CN" w:bidi="ar-SA"/>
        </w:rPr>
        <w:t>项目开展进度按照</w:t>
      </w:r>
      <w:r>
        <w:rPr>
          <w:rFonts w:hint="eastAsia" w:ascii="Times New Roman" w:eastAsia="仿宋_GB2312" w:cs="Times New Roman"/>
          <w:color w:val="auto"/>
          <w:kern w:val="2"/>
          <w:position w:val="0"/>
          <w:sz w:val="32"/>
          <w:szCs w:val="32"/>
          <w:lang w:val="en-US" w:eastAsia="zh-CN" w:bidi="ar-SA"/>
        </w:rPr>
        <w:t>相关文件</w:t>
      </w:r>
      <w:r>
        <w:rPr>
          <w:rFonts w:hint="eastAsia" w:ascii="Times New Roman" w:hAnsi="Times New Roman" w:eastAsia="仿宋_GB2312" w:cs="Times New Roman"/>
          <w:color w:val="auto"/>
          <w:kern w:val="2"/>
          <w:position w:val="0"/>
          <w:sz w:val="32"/>
          <w:szCs w:val="32"/>
          <w:lang w:val="en-US" w:eastAsia="zh-CN" w:bidi="ar-SA"/>
        </w:rPr>
        <w:t>要求有序推进，对项目资金的分配使用合理合规，该项目任务数量基本合理、预算测算过程较为详细、测算依据基本充分、社会效益明显。</w:t>
      </w:r>
    </w:p>
    <w:p>
      <w:pPr>
        <w:pStyle w:val="4"/>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lang w:eastAsia="zh-CN"/>
        </w:rPr>
      </w:pPr>
      <w:r>
        <w:rPr>
          <w:rFonts w:hint="default" w:ascii="Times New Roman" w:hAnsi="Times New Roman" w:eastAsia="黑体" w:cs="Times New Roman"/>
          <w:b w:val="0"/>
          <w:bCs w:val="0"/>
          <w:color w:val="auto"/>
          <w:kern w:val="2"/>
          <w:sz w:val="32"/>
          <w:szCs w:val="32"/>
          <w:highlight w:val="none"/>
          <w:u w:val="none"/>
          <w:lang w:val="en-US" w:eastAsia="zh-CN" w:bidi="ar-SA"/>
        </w:rPr>
        <w:t>五、存在主</w:t>
      </w:r>
      <w:r>
        <w:rPr>
          <w:rFonts w:hint="default" w:ascii="Times New Roman" w:hAnsi="Times New Roman" w:eastAsia="黑体" w:cs="Times New Roman"/>
          <w:b w:val="0"/>
          <w:bCs w:val="0"/>
          <w:color w:val="auto"/>
          <w:sz w:val="32"/>
          <w:szCs w:val="32"/>
          <w:highlight w:val="none"/>
          <w:u w:val="none"/>
          <w:lang w:eastAsia="zh-CN"/>
        </w:rPr>
        <w:t>要问题</w:t>
      </w:r>
    </w:p>
    <w:p>
      <w:pPr>
        <w:pStyle w:val="4"/>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cs="Times New Roman"/>
          <w:b w:val="0"/>
          <w:bCs w:val="0"/>
          <w:color w:val="auto"/>
          <w:kern w:val="2"/>
          <w:position w:val="0"/>
          <w:sz w:val="32"/>
          <w:szCs w:val="32"/>
          <w:highlight w:val="none"/>
          <w:lang w:val="en-US" w:eastAsia="zh-CN" w:bidi="ar-SA"/>
        </w:rPr>
      </w:pPr>
      <w:r>
        <w:rPr>
          <w:rFonts w:hint="eastAsia" w:ascii="Times New Roman" w:hAnsi="Times New Roman" w:cs="Times New Roman"/>
          <w:b w:val="0"/>
          <w:bCs w:val="0"/>
          <w:color w:val="auto"/>
          <w:kern w:val="2"/>
          <w:position w:val="0"/>
          <w:sz w:val="32"/>
          <w:szCs w:val="32"/>
          <w:highlight w:val="none"/>
          <w:lang w:val="en-US" w:eastAsia="zh-CN" w:bidi="ar-SA"/>
        </w:rPr>
        <w:t>无</w:t>
      </w:r>
    </w:p>
    <w:p>
      <w:pPr>
        <w:pStyle w:val="4"/>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kern w:val="0"/>
          <w:position w:val="3"/>
          <w:sz w:val="32"/>
          <w:szCs w:val="32"/>
          <w:highlight w:val="none"/>
          <w:u w:val="none"/>
          <w:lang w:val="zh-CN" w:eastAsia="zh-CN" w:bidi="ar-SA"/>
        </w:rPr>
      </w:pPr>
      <w:r>
        <w:rPr>
          <w:rFonts w:hint="default" w:ascii="Times New Roman" w:hAnsi="Times New Roman" w:eastAsia="黑体" w:cs="Times New Roman"/>
          <w:b w:val="0"/>
          <w:bCs w:val="0"/>
          <w:color w:val="auto"/>
          <w:kern w:val="2"/>
          <w:sz w:val="32"/>
          <w:szCs w:val="32"/>
          <w:highlight w:val="none"/>
          <w:u w:val="none"/>
          <w:lang w:val="zh-CN" w:eastAsia="zh-CN" w:bidi="ar-SA"/>
        </w:rPr>
        <w:t>六、改进建</w:t>
      </w:r>
      <w:r>
        <w:rPr>
          <w:rFonts w:hint="default" w:ascii="Times New Roman" w:hAnsi="Times New Roman" w:eastAsia="黑体" w:cs="Times New Roman"/>
          <w:b w:val="0"/>
          <w:bCs w:val="0"/>
          <w:color w:val="auto"/>
          <w:kern w:val="0"/>
          <w:position w:val="3"/>
          <w:sz w:val="32"/>
          <w:szCs w:val="32"/>
          <w:highlight w:val="none"/>
          <w:u w:val="none"/>
          <w:lang w:val="zh-CN" w:eastAsia="zh-CN" w:bidi="ar-SA"/>
        </w:rPr>
        <w:t>议</w:t>
      </w:r>
    </w:p>
    <w:p>
      <w:pPr>
        <w:keepNext w:val="0"/>
        <w:keepLines w:val="0"/>
        <w:pageBreakBefore w:val="0"/>
        <w:tabs>
          <w:tab w:val="left" w:pos="1911"/>
        </w:tabs>
        <w:kinsoku/>
        <w:wordWrap/>
        <w:overflowPunct/>
        <w:topLinePunct w:val="0"/>
        <w:autoSpaceDE/>
        <w:autoSpaceDN/>
        <w:bidi w:val="0"/>
        <w:spacing w:line="576" w:lineRule="exact"/>
        <w:jc w:val="left"/>
        <w:rPr>
          <w:rFonts w:hint="default" w:ascii="Times New Roman" w:hAnsi="Times New Roman" w:eastAsia="仿宋_GB2312" w:cs="Times New Roman"/>
          <w:b w:val="0"/>
          <w:bCs w:val="0"/>
          <w:color w:val="auto"/>
          <w:kern w:val="0"/>
          <w:position w:val="0"/>
          <w:sz w:val="32"/>
          <w:szCs w:val="32"/>
          <w:highlight w:val="none"/>
          <w:lang w:val="en" w:eastAsia="zh-CN" w:bidi="ar-SA"/>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default" w:ascii="Times New Roman" w:hAnsi="Times New Roman" w:cs="Times New Roman"/>
          <w:b w:val="0"/>
          <w:bCs w:val="0"/>
          <w:color w:val="auto"/>
          <w:kern w:val="0"/>
          <w:position w:val="0"/>
          <w:sz w:val="32"/>
          <w:szCs w:val="32"/>
          <w:highlight w:val="none"/>
          <w:lang w:val="en-US" w:eastAsia="zh-CN" w:bidi="ar-SA"/>
        </w:rPr>
        <w:t xml:space="preserve">   </w:t>
      </w:r>
      <w:bookmarkStart w:id="6" w:name="_Hlk110546638"/>
      <w:r>
        <w:rPr>
          <w:rFonts w:hint="eastAsia" w:ascii="Times New Roman" w:hAnsi="Times New Roman" w:cs="Times New Roman"/>
          <w:b w:val="0"/>
          <w:bCs w:val="0"/>
          <w:color w:val="auto"/>
          <w:kern w:val="0"/>
          <w:position w:val="0"/>
          <w:sz w:val="32"/>
          <w:szCs w:val="32"/>
          <w:highlight w:val="none"/>
          <w:lang w:val="en-US" w:eastAsia="zh-CN" w:bidi="ar-SA"/>
        </w:rPr>
        <w:t>无</w:t>
      </w:r>
    </w:p>
    <w:bookmarkEnd w:id="6"/>
    <w:p>
      <w:pPr>
        <w:keepNext w:val="0"/>
        <w:keepLines w:val="0"/>
        <w:pageBreakBefore w:val="0"/>
        <w:kinsoku/>
        <w:wordWrap/>
        <w:overflowPunct/>
        <w:topLinePunct w:val="0"/>
        <w:autoSpaceDE/>
        <w:autoSpaceDN/>
        <w:bidi w:val="0"/>
        <w:adjustRightInd/>
        <w:snapToGrid w:val="0"/>
        <w:spacing w:line="576" w:lineRule="exact"/>
        <w:ind w:left="0" w:leftChars="0" w:firstLine="420" w:firstLineChars="200"/>
        <w:textAlignment w:val="auto"/>
        <w:outlineLvl w:val="9"/>
        <w:rPr>
          <w:rFonts w:hint="default" w:ascii="Times New Roman" w:hAnsi="Times New Roman" w:cs="Times New Roman"/>
          <w:b w:val="0"/>
          <w:bCs w:val="0"/>
          <w:color w:val="auto"/>
          <w:kern w:val="0"/>
          <w:szCs w:val="32"/>
          <w:highlight w:val="none"/>
          <w:shd w:val="clear" w:color="auto" w:fill="FFFFFF"/>
          <w:lang w:val="zh-CN" w:eastAsia="zh-CN"/>
        </w:rPr>
      </w:pPr>
    </w:p>
    <w:p>
      <w:pPr>
        <w:keepNext w:val="0"/>
        <w:keepLines w:val="0"/>
        <w:pageBreakBefore w:val="0"/>
        <w:widowControl w:val="0"/>
        <w:kinsoku/>
        <w:wordWrap/>
        <w:overflowPunct/>
        <w:topLinePunct w:val="0"/>
        <w:autoSpaceDE/>
        <w:autoSpaceDN/>
        <w:bidi w:val="0"/>
        <w:adjustRightInd/>
        <w:snapToGrid w:val="0"/>
        <w:spacing w:line="576" w:lineRule="exact"/>
        <w:ind w:left="0" w:firstLine="640" w:firstLineChars="200"/>
        <w:textAlignment w:val="auto"/>
        <w:outlineLvl w:val="9"/>
        <w:rPr>
          <w:rFonts w:hint="eastAsia" w:ascii="仿宋_GB2312" w:eastAsia="仿宋_GB2312" w:cs="仿宋_GB2312"/>
          <w:color w:val="auto"/>
          <w:kern w:val="0"/>
          <w:sz w:val="32"/>
          <w:szCs w:val="32"/>
          <w:highlight w:val="none"/>
          <w:shd w:val="clear" w:color="auto" w:fill="FFFFFF"/>
          <w:lang w:val="en-US" w:eastAsia="zh-CN"/>
        </w:rPr>
      </w:pPr>
      <w:r>
        <w:rPr>
          <w:rFonts w:hint="eastAsia" w:ascii="仿宋_GB2312" w:eastAsia="仿宋_GB2312" w:cs="仿宋_GB2312"/>
          <w:color w:val="auto"/>
          <w:kern w:val="0"/>
          <w:sz w:val="32"/>
          <w:szCs w:val="32"/>
          <w:highlight w:val="none"/>
          <w:shd w:val="clear" w:color="auto" w:fill="FFFFFF"/>
          <w:lang w:val="en-US" w:eastAsia="zh-CN"/>
        </w:rPr>
        <w:t>附表：1.专项预算绩效自评打分表</w:t>
      </w:r>
    </w:p>
    <w:p>
      <w:pPr>
        <w:keepNext w:val="0"/>
        <w:keepLines w:val="0"/>
        <w:pageBreakBefore w:val="0"/>
        <w:widowControl w:val="0"/>
        <w:kinsoku/>
        <w:wordWrap/>
        <w:overflowPunct/>
        <w:topLinePunct w:val="0"/>
        <w:autoSpaceDE/>
        <w:autoSpaceDN/>
        <w:bidi w:val="0"/>
        <w:adjustRightInd/>
        <w:snapToGrid w:val="0"/>
        <w:spacing w:line="576" w:lineRule="exact"/>
        <w:ind w:left="0" w:firstLine="1600" w:firstLineChars="500"/>
        <w:textAlignment w:val="auto"/>
        <w:outlineLvl w:val="9"/>
        <w:rPr>
          <w:rFonts w:hint="eastAsia" w:ascii="仿宋_GB2312" w:eastAsia="仿宋_GB2312" w:cs="仿宋_GB2312"/>
          <w:color w:val="auto"/>
          <w:kern w:val="0"/>
          <w:sz w:val="32"/>
          <w:szCs w:val="32"/>
          <w:highlight w:val="none"/>
          <w:shd w:val="clear" w:color="auto" w:fill="FFFFFF"/>
          <w:lang w:val="en-US" w:eastAsia="zh-CN"/>
        </w:rPr>
      </w:pPr>
      <w:r>
        <w:rPr>
          <w:rFonts w:hint="eastAsia" w:ascii="仿宋_GB2312" w:eastAsia="仿宋_GB2312" w:cs="仿宋_GB2312"/>
          <w:color w:val="auto"/>
          <w:kern w:val="0"/>
          <w:sz w:val="32"/>
          <w:szCs w:val="32"/>
          <w:highlight w:val="none"/>
          <w:shd w:val="clear" w:color="auto" w:fill="FFFFFF"/>
          <w:lang w:val="en-US" w:eastAsia="zh-CN"/>
        </w:rPr>
        <w:t>2.专项预算绩效自评实地踏勘点位清单表</w:t>
      </w:r>
    </w:p>
    <w:p>
      <w:pPr>
        <w:keepNext w:val="0"/>
        <w:keepLines w:val="0"/>
        <w:pageBreakBefore w:val="0"/>
        <w:widowControl w:val="0"/>
        <w:kinsoku/>
        <w:wordWrap/>
        <w:overflowPunct/>
        <w:topLinePunct w:val="0"/>
        <w:autoSpaceDE/>
        <w:autoSpaceDN/>
        <w:bidi w:val="0"/>
        <w:adjustRightInd/>
        <w:snapToGrid w:val="0"/>
        <w:spacing w:line="576" w:lineRule="exact"/>
        <w:ind w:left="0" w:firstLine="1600" w:firstLineChars="500"/>
        <w:textAlignment w:val="auto"/>
        <w:outlineLvl w:val="9"/>
        <w:rPr>
          <w:rFonts w:hint="eastAsia" w:ascii="仿宋_GB2312" w:eastAsia="仿宋_GB2312" w:cs="仿宋_GB2312"/>
          <w:color w:val="auto"/>
          <w:kern w:val="0"/>
          <w:sz w:val="32"/>
          <w:szCs w:val="32"/>
          <w:highlight w:val="none"/>
          <w:shd w:val="clear" w:color="auto" w:fill="FFFFFF"/>
          <w:lang w:val="en-US" w:eastAsia="zh-CN"/>
        </w:rPr>
      </w:pPr>
      <w:r>
        <w:rPr>
          <w:rFonts w:hint="eastAsia" w:ascii="仿宋_GB2312" w:eastAsia="仿宋_GB2312" w:cs="仿宋_GB2312"/>
          <w:color w:val="auto"/>
          <w:kern w:val="0"/>
          <w:sz w:val="32"/>
          <w:szCs w:val="32"/>
          <w:highlight w:val="none"/>
          <w:shd w:val="clear" w:color="auto" w:fill="FFFFFF"/>
          <w:lang w:val="en-US" w:eastAsia="zh-CN"/>
        </w:rPr>
        <w:t>3.专项预算项目绩效目标完成情况自评表</w:t>
      </w:r>
    </w:p>
    <w:p>
      <w:pPr>
        <w:pStyle w:val="4"/>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sz w:val="32"/>
          <w:szCs w:val="32"/>
        </w:rPr>
      </w:pPr>
    </w:p>
    <w:sectPr>
      <w:footerReference r:id="rId3" w:type="default"/>
      <w:pgSz w:w="11906" w:h="16838"/>
      <w:pgMar w:top="2098" w:right="1474" w:bottom="1984" w:left="1587"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2B4ADF"/>
    <w:multiLevelType w:val="singleLevel"/>
    <w:tmpl w:val="682B4AD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MGUwYzMwZmI4Mjg4YTJjYTIzYTg1Y2Y1ODIzMmYifQ=="/>
  </w:docVars>
  <w:rsids>
    <w:rsidRoot w:val="00000000"/>
    <w:rsid w:val="016920D5"/>
    <w:rsid w:val="06182283"/>
    <w:rsid w:val="067464B5"/>
    <w:rsid w:val="0EB36CDF"/>
    <w:rsid w:val="0F852097"/>
    <w:rsid w:val="0FEF0875"/>
    <w:rsid w:val="175C2A26"/>
    <w:rsid w:val="1814675E"/>
    <w:rsid w:val="19ED3682"/>
    <w:rsid w:val="1BCA43BC"/>
    <w:rsid w:val="1E452D8D"/>
    <w:rsid w:val="1EED528D"/>
    <w:rsid w:val="1FEAC713"/>
    <w:rsid w:val="21AD5E11"/>
    <w:rsid w:val="242C7E16"/>
    <w:rsid w:val="28C910B0"/>
    <w:rsid w:val="297C162E"/>
    <w:rsid w:val="2A2B1C75"/>
    <w:rsid w:val="2A793CAC"/>
    <w:rsid w:val="2D371DA8"/>
    <w:rsid w:val="2DB16788"/>
    <w:rsid w:val="318A6B8F"/>
    <w:rsid w:val="341C2A97"/>
    <w:rsid w:val="34382D16"/>
    <w:rsid w:val="34BD3598"/>
    <w:rsid w:val="35381FCB"/>
    <w:rsid w:val="35A44537"/>
    <w:rsid w:val="35E05F42"/>
    <w:rsid w:val="36214350"/>
    <w:rsid w:val="37FF7171"/>
    <w:rsid w:val="3AF05318"/>
    <w:rsid w:val="3EFAE783"/>
    <w:rsid w:val="3FEFA831"/>
    <w:rsid w:val="423F3FE2"/>
    <w:rsid w:val="434D3675"/>
    <w:rsid w:val="470D0DD2"/>
    <w:rsid w:val="488E2928"/>
    <w:rsid w:val="4AFA64E3"/>
    <w:rsid w:val="4CA16843"/>
    <w:rsid w:val="4D462DDB"/>
    <w:rsid w:val="4D4B3E75"/>
    <w:rsid w:val="52FC551D"/>
    <w:rsid w:val="5836666D"/>
    <w:rsid w:val="59FA6974"/>
    <w:rsid w:val="5AF2584A"/>
    <w:rsid w:val="5BC70501"/>
    <w:rsid w:val="5D493D00"/>
    <w:rsid w:val="5D541FFE"/>
    <w:rsid w:val="5E812A11"/>
    <w:rsid w:val="5FE372CD"/>
    <w:rsid w:val="5FFD40D9"/>
    <w:rsid w:val="5FFF6BBE"/>
    <w:rsid w:val="60A32DF7"/>
    <w:rsid w:val="60DA11F3"/>
    <w:rsid w:val="63760BE5"/>
    <w:rsid w:val="64FD8887"/>
    <w:rsid w:val="65A64E61"/>
    <w:rsid w:val="67F52187"/>
    <w:rsid w:val="694F6DAC"/>
    <w:rsid w:val="6C874B98"/>
    <w:rsid w:val="6D1024A4"/>
    <w:rsid w:val="6DD922D4"/>
    <w:rsid w:val="6E3D64B6"/>
    <w:rsid w:val="6F50CAE0"/>
    <w:rsid w:val="72516D95"/>
    <w:rsid w:val="739B18EA"/>
    <w:rsid w:val="749A3CB9"/>
    <w:rsid w:val="74F77766"/>
    <w:rsid w:val="75475EA4"/>
    <w:rsid w:val="76214C10"/>
    <w:rsid w:val="77C54537"/>
    <w:rsid w:val="780540E1"/>
    <w:rsid w:val="7AD87B30"/>
    <w:rsid w:val="7D6FF064"/>
    <w:rsid w:val="7D9763EF"/>
    <w:rsid w:val="7E574404"/>
    <w:rsid w:val="7EBF5312"/>
    <w:rsid w:val="7F9F9DB6"/>
    <w:rsid w:val="7FFF4311"/>
    <w:rsid w:val="B4BBC7AA"/>
    <w:rsid w:val="BFDF5B7C"/>
    <w:rsid w:val="BFDFC3CC"/>
    <w:rsid w:val="DF881CAB"/>
    <w:rsid w:val="F35D6F1E"/>
    <w:rsid w:val="F6FE4432"/>
    <w:rsid w:val="F7A70660"/>
    <w:rsid w:val="FEDE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styleId="3">
    <w:name w:val="index 6"/>
    <w:basedOn w:val="1"/>
    <w:next w:val="1"/>
    <w:qFormat/>
    <w:uiPriority w:val="0"/>
    <w:pPr>
      <w:ind w:left="2100"/>
    </w:pPr>
  </w:style>
  <w:style w:type="paragraph" w:styleId="4">
    <w:name w:val="Body Text"/>
    <w:basedOn w:val="1"/>
    <w:next w:val="5"/>
    <w:qFormat/>
    <w:uiPriority w:val="0"/>
    <w:pPr>
      <w:spacing w:before="0" w:after="140" w:line="276" w:lineRule="auto"/>
    </w:pPr>
  </w:style>
  <w:style w:type="paragraph" w:customStyle="1" w:styleId="5">
    <w:name w:val="样式1"/>
    <w:basedOn w:val="1"/>
    <w:qFormat/>
    <w:uiPriority w:val="0"/>
    <w:rPr>
      <w:b/>
      <w:color w:val="538135"/>
      <w:sz w:val="28"/>
    </w:rPr>
  </w:style>
  <w:style w:type="paragraph" w:styleId="6">
    <w:name w:val="Body Text Indent"/>
    <w:basedOn w:val="1"/>
    <w:qFormat/>
    <w:uiPriority w:val="99"/>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able of figures"/>
    <w:basedOn w:val="1"/>
    <w:next w:val="1"/>
    <w:qFormat/>
    <w:uiPriority w:val="0"/>
    <w:pPr>
      <w:ind w:left="200" w:leftChars="200" w:hanging="200" w:hangingChars="200"/>
    </w:pPr>
  </w:style>
  <w:style w:type="paragraph" w:styleId="10">
    <w:name w:val="Normal (Web)"/>
    <w:basedOn w:val="1"/>
    <w:next w:val="3"/>
    <w:qFormat/>
    <w:uiPriority w:val="0"/>
    <w:pPr>
      <w:spacing w:beforeAutospacing="1" w:afterAutospacing="1"/>
      <w:jc w:val="left"/>
    </w:pPr>
    <w:rPr>
      <w:rFonts w:cs="Times New Roman"/>
      <w:kern w:val="0"/>
      <w:sz w:val="24"/>
    </w:rPr>
  </w:style>
  <w:style w:type="paragraph" w:styleId="11">
    <w:name w:val="Body Text First Indent 2"/>
    <w:basedOn w:val="6"/>
    <w:next w:val="1"/>
    <w:qFormat/>
    <w:uiPriority w:val="99"/>
    <w:pPr>
      <w:ind w:firstLine="420" w:firstLineChars="200"/>
    </w:pPr>
  </w:style>
  <w:style w:type="paragraph" w:customStyle="1" w:styleId="14">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15">
    <w:name w:val="15"/>
    <w:qFormat/>
    <w:uiPriority w:val="0"/>
    <w:rPr>
      <w:rFonts w:ascii="Calibri" w:hAnsi="Calibri" w:eastAsia="宋体" w:cs="Times New Roman"/>
      <w:kern w:val="2"/>
      <w:sz w:val="21"/>
      <w:szCs w:val="21"/>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3667</Words>
  <Characters>3936</Characters>
  <Lines>0</Lines>
  <Paragraphs>0</Paragraphs>
  <TotalTime>1</TotalTime>
  <ScaleCrop>false</ScaleCrop>
  <LinksUpToDate>false</LinksUpToDate>
  <CharactersWithSpaces>3950</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2024-09-20T17:03:00Z</dcterms:created>
  <dc:creator>dell</dc:creator>
  <cp:lastModifiedBy>user</cp:lastModifiedBy>
  <dcterms:modified xsi:type="dcterms:W3CDTF">2025-05-08T17:05:38Z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131D05FCA75F4F4B8A17BBECCE6741D1_13</vt:lpwstr>
  </property>
</Properties>
</file>